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7DC68" w14:textId="77777777" w:rsidR="00E258FD" w:rsidRDefault="001372B9">
      <w:pPr>
        <w:spacing w:before="0" w:beforeAutospacing="0" w:after="0" w:line="360" w:lineRule="auto"/>
        <w:jc w:val="center"/>
        <w:rPr>
          <w:rFonts w:ascii="Gill Sans MT" w:eastAsia="Calibri" w:hAnsi="Gill Sans MT"/>
          <w:b/>
          <w:bCs/>
          <w:sz w:val="24"/>
          <w:szCs w:val="24"/>
        </w:rPr>
      </w:pPr>
      <w:r>
        <w:rPr>
          <w:rFonts w:ascii="Gill Sans MT" w:eastAsia="Calibri" w:hAnsi="Gill Sans MT"/>
          <w:b/>
          <w:bCs/>
          <w:noProof/>
          <w:sz w:val="24"/>
          <w:szCs w:val="24"/>
        </w:rPr>
        <w:drawing>
          <wp:anchor distT="0" distB="0" distL="0" distR="0" simplePos="0" relativeHeight="2" behindDoc="0" locked="0" layoutInCell="1" allowOverlap="1" wp14:anchorId="35950C2A" wp14:editId="1328064E">
            <wp:simplePos x="0" y="0"/>
            <wp:positionH relativeFrom="column">
              <wp:posOffset>-930275</wp:posOffset>
            </wp:positionH>
            <wp:positionV relativeFrom="paragraph">
              <wp:posOffset>-791845</wp:posOffset>
            </wp:positionV>
            <wp:extent cx="7870372" cy="10119017"/>
            <wp:effectExtent l="0" t="0" r="0" b="0"/>
            <wp:wrapNone/>
            <wp:docPr id="1026" name="Picture 4" descr="D:\Workspace\Patrick Ochieng\Design Work\Finished Designs\Pamoja Trust Report Cov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7870372" cy="10119017"/>
                    </a:xfrm>
                    <a:prstGeom prst="rect">
                      <a:avLst/>
                    </a:prstGeom>
                    <a:ln>
                      <a:noFill/>
                    </a:ln>
                  </pic:spPr>
                </pic:pic>
              </a:graphicData>
            </a:graphic>
            <wp14:sizeRelH relativeFrom="page">
              <wp14:pctWidth>0</wp14:pctWidth>
            </wp14:sizeRelH>
            <wp14:sizeRelV relativeFrom="page">
              <wp14:pctHeight>0</wp14:pctHeight>
            </wp14:sizeRelV>
          </wp:anchor>
        </w:drawing>
      </w:r>
    </w:p>
    <w:p w14:paraId="528F5D88" w14:textId="77777777" w:rsidR="00E258FD" w:rsidRDefault="00E258FD">
      <w:pPr>
        <w:spacing w:before="0" w:beforeAutospacing="0" w:after="0" w:line="360" w:lineRule="auto"/>
        <w:jc w:val="center"/>
        <w:rPr>
          <w:rFonts w:ascii="Gill Sans MT" w:eastAsia="Calibri" w:hAnsi="Gill Sans MT"/>
          <w:b/>
          <w:bCs/>
          <w:sz w:val="24"/>
          <w:szCs w:val="24"/>
        </w:rPr>
      </w:pPr>
    </w:p>
    <w:p w14:paraId="61040122" w14:textId="77777777" w:rsidR="00E258FD" w:rsidRDefault="00E258FD">
      <w:pPr>
        <w:spacing w:before="0" w:beforeAutospacing="0" w:after="0" w:line="360" w:lineRule="auto"/>
        <w:jc w:val="center"/>
        <w:rPr>
          <w:rFonts w:ascii="Gill Sans MT" w:eastAsia="Calibri" w:hAnsi="Gill Sans MT"/>
          <w:b/>
          <w:bCs/>
          <w:sz w:val="24"/>
          <w:szCs w:val="24"/>
        </w:rPr>
      </w:pPr>
    </w:p>
    <w:p w14:paraId="71AC6BE3" w14:textId="77777777" w:rsidR="00E258FD" w:rsidRDefault="00E258FD">
      <w:pPr>
        <w:spacing w:before="0" w:beforeAutospacing="0" w:after="0" w:line="360" w:lineRule="auto"/>
        <w:jc w:val="center"/>
        <w:rPr>
          <w:rFonts w:ascii="Gill Sans MT" w:eastAsia="Calibri" w:hAnsi="Gill Sans MT"/>
          <w:b/>
          <w:bCs/>
          <w:sz w:val="24"/>
          <w:szCs w:val="24"/>
        </w:rPr>
      </w:pPr>
    </w:p>
    <w:p w14:paraId="7EB3CAF0" w14:textId="77777777" w:rsidR="00E258FD" w:rsidRDefault="00E258FD">
      <w:pPr>
        <w:spacing w:before="0" w:beforeAutospacing="0" w:after="0" w:line="360" w:lineRule="auto"/>
        <w:jc w:val="center"/>
        <w:rPr>
          <w:rFonts w:ascii="Gill Sans MT" w:eastAsia="Calibri" w:hAnsi="Gill Sans MT"/>
          <w:b/>
          <w:bCs/>
          <w:sz w:val="24"/>
          <w:szCs w:val="24"/>
        </w:rPr>
      </w:pPr>
    </w:p>
    <w:p w14:paraId="527D538B" w14:textId="77777777" w:rsidR="00E258FD" w:rsidRDefault="00E258FD">
      <w:pPr>
        <w:spacing w:before="0" w:beforeAutospacing="0" w:after="0" w:line="360" w:lineRule="auto"/>
        <w:jc w:val="center"/>
        <w:rPr>
          <w:rFonts w:ascii="Gill Sans MT" w:eastAsia="Calibri" w:hAnsi="Gill Sans MT"/>
          <w:b/>
          <w:bCs/>
          <w:sz w:val="24"/>
          <w:szCs w:val="24"/>
        </w:rPr>
      </w:pPr>
    </w:p>
    <w:p w14:paraId="2CFAED2A" w14:textId="77777777" w:rsidR="00E258FD" w:rsidRDefault="00E258FD">
      <w:pPr>
        <w:spacing w:before="0" w:beforeAutospacing="0" w:after="0" w:line="360" w:lineRule="auto"/>
        <w:jc w:val="center"/>
        <w:rPr>
          <w:rFonts w:ascii="Gill Sans MT" w:eastAsia="Calibri" w:hAnsi="Gill Sans MT"/>
          <w:b/>
          <w:bCs/>
          <w:sz w:val="24"/>
          <w:szCs w:val="24"/>
        </w:rPr>
      </w:pPr>
    </w:p>
    <w:p w14:paraId="31692CCA" w14:textId="77777777" w:rsidR="00E258FD" w:rsidRDefault="00E258FD">
      <w:pPr>
        <w:spacing w:before="0" w:beforeAutospacing="0" w:after="0" w:line="360" w:lineRule="auto"/>
        <w:jc w:val="center"/>
        <w:rPr>
          <w:rFonts w:ascii="Gill Sans MT" w:eastAsia="Calibri" w:hAnsi="Gill Sans MT"/>
          <w:b/>
          <w:bCs/>
          <w:sz w:val="24"/>
          <w:szCs w:val="24"/>
        </w:rPr>
      </w:pPr>
    </w:p>
    <w:p w14:paraId="2AE814A1" w14:textId="77777777" w:rsidR="00E258FD" w:rsidRDefault="00E258FD">
      <w:pPr>
        <w:spacing w:before="0" w:beforeAutospacing="0" w:after="0" w:line="360" w:lineRule="auto"/>
        <w:jc w:val="center"/>
        <w:rPr>
          <w:rFonts w:ascii="Gill Sans MT" w:eastAsia="Calibri" w:hAnsi="Gill Sans MT"/>
          <w:b/>
          <w:bCs/>
          <w:sz w:val="24"/>
          <w:szCs w:val="24"/>
        </w:rPr>
      </w:pPr>
    </w:p>
    <w:p w14:paraId="246C36C3" w14:textId="77777777" w:rsidR="00E258FD" w:rsidRDefault="00E258FD">
      <w:pPr>
        <w:spacing w:before="0" w:beforeAutospacing="0" w:after="0" w:line="360" w:lineRule="auto"/>
        <w:jc w:val="center"/>
        <w:rPr>
          <w:rFonts w:ascii="Gill Sans MT" w:eastAsia="Calibri" w:hAnsi="Gill Sans MT"/>
          <w:b/>
          <w:bCs/>
          <w:sz w:val="24"/>
          <w:szCs w:val="24"/>
        </w:rPr>
      </w:pPr>
    </w:p>
    <w:p w14:paraId="667D9B3F" w14:textId="77777777" w:rsidR="00E258FD" w:rsidRDefault="00E258FD">
      <w:pPr>
        <w:spacing w:before="0" w:beforeAutospacing="0" w:after="0" w:line="360" w:lineRule="auto"/>
        <w:jc w:val="center"/>
        <w:rPr>
          <w:rFonts w:ascii="Gill Sans MT" w:eastAsia="Calibri" w:hAnsi="Gill Sans MT"/>
          <w:b/>
          <w:bCs/>
          <w:sz w:val="24"/>
          <w:szCs w:val="24"/>
        </w:rPr>
      </w:pPr>
    </w:p>
    <w:p w14:paraId="7BB9B9DE" w14:textId="77777777" w:rsidR="00E258FD" w:rsidRDefault="00E258FD">
      <w:pPr>
        <w:spacing w:before="0" w:beforeAutospacing="0" w:after="0" w:line="360" w:lineRule="auto"/>
        <w:jc w:val="center"/>
        <w:rPr>
          <w:rFonts w:ascii="Gill Sans MT" w:eastAsia="Calibri" w:hAnsi="Gill Sans MT"/>
          <w:b/>
          <w:bCs/>
          <w:sz w:val="24"/>
          <w:szCs w:val="24"/>
        </w:rPr>
      </w:pPr>
    </w:p>
    <w:p w14:paraId="1F1C6EC4" w14:textId="77777777" w:rsidR="00E258FD" w:rsidRDefault="00E258FD">
      <w:pPr>
        <w:spacing w:before="0" w:beforeAutospacing="0" w:after="0" w:line="360" w:lineRule="auto"/>
        <w:jc w:val="center"/>
        <w:rPr>
          <w:rFonts w:ascii="Gill Sans MT" w:eastAsia="Calibri" w:hAnsi="Gill Sans MT"/>
          <w:b/>
          <w:bCs/>
          <w:sz w:val="24"/>
          <w:szCs w:val="24"/>
        </w:rPr>
      </w:pPr>
    </w:p>
    <w:p w14:paraId="20D20516" w14:textId="77777777" w:rsidR="00E258FD" w:rsidRDefault="00E258FD">
      <w:pPr>
        <w:spacing w:before="0" w:beforeAutospacing="0" w:after="0" w:line="360" w:lineRule="auto"/>
        <w:jc w:val="center"/>
        <w:rPr>
          <w:rFonts w:ascii="Gill Sans MT" w:eastAsia="Calibri" w:hAnsi="Gill Sans MT"/>
          <w:b/>
          <w:bCs/>
          <w:sz w:val="24"/>
          <w:szCs w:val="24"/>
        </w:rPr>
      </w:pPr>
    </w:p>
    <w:p w14:paraId="3419D317" w14:textId="77777777" w:rsidR="00E258FD" w:rsidRDefault="00E258FD">
      <w:pPr>
        <w:spacing w:before="0" w:beforeAutospacing="0" w:after="0" w:line="360" w:lineRule="auto"/>
        <w:jc w:val="center"/>
        <w:rPr>
          <w:rFonts w:ascii="Gill Sans MT" w:eastAsia="Calibri" w:hAnsi="Gill Sans MT"/>
          <w:b/>
          <w:bCs/>
          <w:sz w:val="24"/>
          <w:szCs w:val="24"/>
        </w:rPr>
      </w:pPr>
    </w:p>
    <w:p w14:paraId="5DC3F8BD" w14:textId="77777777" w:rsidR="00E258FD" w:rsidRDefault="00E258FD">
      <w:pPr>
        <w:spacing w:before="0" w:beforeAutospacing="0" w:after="0" w:line="360" w:lineRule="auto"/>
        <w:jc w:val="center"/>
        <w:rPr>
          <w:rFonts w:ascii="Gill Sans MT" w:eastAsia="Calibri" w:hAnsi="Gill Sans MT"/>
          <w:b/>
          <w:bCs/>
          <w:sz w:val="24"/>
          <w:szCs w:val="24"/>
        </w:rPr>
      </w:pPr>
    </w:p>
    <w:p w14:paraId="422A4D44" w14:textId="77777777" w:rsidR="00E258FD" w:rsidRDefault="00E258FD">
      <w:pPr>
        <w:spacing w:before="0" w:beforeAutospacing="0" w:after="0" w:line="360" w:lineRule="auto"/>
        <w:jc w:val="center"/>
        <w:rPr>
          <w:rFonts w:ascii="Gill Sans MT" w:eastAsia="Calibri" w:hAnsi="Gill Sans MT"/>
          <w:b/>
          <w:bCs/>
          <w:sz w:val="24"/>
          <w:szCs w:val="24"/>
        </w:rPr>
      </w:pPr>
    </w:p>
    <w:p w14:paraId="6BE3050A" w14:textId="77777777" w:rsidR="00E258FD" w:rsidRDefault="00E258FD">
      <w:pPr>
        <w:spacing w:before="0" w:beforeAutospacing="0" w:after="0" w:line="360" w:lineRule="auto"/>
        <w:jc w:val="center"/>
        <w:rPr>
          <w:rFonts w:ascii="Gill Sans MT" w:eastAsia="Calibri" w:hAnsi="Gill Sans MT"/>
          <w:b/>
          <w:bCs/>
          <w:sz w:val="24"/>
          <w:szCs w:val="24"/>
        </w:rPr>
      </w:pPr>
    </w:p>
    <w:p w14:paraId="7F453A94" w14:textId="77777777" w:rsidR="00E258FD" w:rsidRDefault="001372B9">
      <w:pPr>
        <w:spacing w:before="0" w:beforeAutospacing="0" w:after="0" w:line="360" w:lineRule="auto"/>
        <w:rPr>
          <w:rFonts w:ascii="Gill Sans MT" w:eastAsia="Calibri" w:hAnsi="Gill Sans MT"/>
          <w:b/>
          <w:bCs/>
          <w:sz w:val="24"/>
          <w:szCs w:val="24"/>
        </w:rPr>
      </w:pPr>
      <w:r>
        <w:rPr>
          <w:rFonts w:ascii="Gill Sans MT" w:eastAsia="Calibri" w:hAnsi="Gill Sans MT"/>
          <w:b/>
          <w:bCs/>
          <w:sz w:val="24"/>
          <w:szCs w:val="24"/>
        </w:rPr>
        <w:br w:type="page"/>
      </w:r>
    </w:p>
    <w:p w14:paraId="1DE539FA" w14:textId="77777777" w:rsidR="00E258FD" w:rsidRDefault="001372B9">
      <w:pPr>
        <w:pStyle w:val="Heading2"/>
        <w:spacing w:before="0" w:beforeAutospacing="0" w:line="360" w:lineRule="auto"/>
        <w:jc w:val="center"/>
        <w:rPr>
          <w:rFonts w:ascii="Gill Sans MT" w:hAnsi="Gill Sans MT"/>
          <w:color w:val="0070C0"/>
          <w:lang w:eastAsia="zh-CN"/>
        </w:rPr>
      </w:pPr>
      <w:bookmarkStart w:id="0" w:name="_Toc106369878"/>
      <w:r>
        <w:rPr>
          <w:rFonts w:ascii="Gill Sans MT" w:hAnsi="Gill Sans MT"/>
          <w:color w:val="0070C0"/>
          <w:lang w:eastAsia="zh-CN"/>
        </w:rPr>
        <w:lastRenderedPageBreak/>
        <w:t>Executive Summary</w:t>
      </w:r>
      <w:bookmarkEnd w:id="0"/>
    </w:p>
    <w:p w14:paraId="7DEDE92F" w14:textId="77777777" w:rsidR="00E258FD" w:rsidRDefault="00E258FD">
      <w:pPr>
        <w:spacing w:before="0" w:beforeAutospacing="0" w:after="0" w:line="360" w:lineRule="auto"/>
        <w:jc w:val="both"/>
        <w:rPr>
          <w:rFonts w:ascii="Gill Sans MT" w:eastAsia="Calibri" w:hAnsi="Gill Sans MT"/>
          <w:sz w:val="24"/>
          <w:szCs w:val="24"/>
          <w:lang w:eastAsia="zh-CN"/>
        </w:rPr>
      </w:pPr>
    </w:p>
    <w:p w14:paraId="2B17A736" w14:textId="77777777" w:rsidR="00E258FD" w:rsidRDefault="001372B9">
      <w:pPr>
        <w:spacing w:before="0" w:beforeAutospacing="0" w:after="0" w:line="360" w:lineRule="auto"/>
        <w:jc w:val="both"/>
        <w:rPr>
          <w:rFonts w:ascii="Gill Sans MT" w:eastAsia="Calibri" w:hAnsi="Gill Sans MT"/>
          <w:sz w:val="24"/>
          <w:szCs w:val="24"/>
        </w:rPr>
      </w:pPr>
      <w:r>
        <w:rPr>
          <w:rFonts w:ascii="Gill Sans MT" w:eastAsia="Calibri" w:hAnsi="Gill Sans MT"/>
          <w:sz w:val="24"/>
          <w:szCs w:val="24"/>
          <w:lang w:eastAsia="zh-CN"/>
        </w:rPr>
        <w:t>Pamoja Trust is a non-profit making organization founded in 1999. PT is dedicated to promoting access to land, shelter and basic services for the Urban Poor. The organization takes principled and pragmatic approaches to protection and promotion of the righ</w:t>
      </w:r>
      <w:r>
        <w:rPr>
          <w:rFonts w:ascii="Gill Sans MT" w:eastAsia="Calibri" w:hAnsi="Gill Sans MT"/>
          <w:sz w:val="24"/>
          <w:szCs w:val="24"/>
          <w:lang w:eastAsia="zh-CN"/>
        </w:rPr>
        <w:t>t to the city through advocacy and precedence setting models for problem solving. PT provides social, technical and legal expertise at local community, national and international levels to ensure that urban growth and urbanism adhere to social justice prin</w:t>
      </w:r>
      <w:r>
        <w:rPr>
          <w:rFonts w:ascii="Gill Sans MT" w:eastAsia="Calibri" w:hAnsi="Gill Sans MT"/>
          <w:sz w:val="24"/>
          <w:szCs w:val="24"/>
          <w:lang w:eastAsia="zh-CN"/>
        </w:rPr>
        <w:t xml:space="preserve">ciples and that national and international human rights </w:t>
      </w:r>
    </w:p>
    <w:p w14:paraId="45769543" w14:textId="77777777" w:rsidR="00E258FD" w:rsidRDefault="001372B9">
      <w:pPr>
        <w:spacing w:before="0" w:beforeAutospacing="0" w:after="0" w:line="360" w:lineRule="auto"/>
        <w:jc w:val="both"/>
        <w:rPr>
          <w:rFonts w:ascii="Gill Sans MT" w:eastAsia="Calibri" w:hAnsi="Gill Sans MT"/>
          <w:sz w:val="24"/>
          <w:szCs w:val="24"/>
        </w:rPr>
      </w:pPr>
      <w:r>
        <w:rPr>
          <w:rFonts w:ascii="Gill Sans MT" w:eastAsia="Calibri" w:hAnsi="Gill Sans MT"/>
          <w:sz w:val="24"/>
          <w:szCs w:val="24"/>
          <w:lang w:eastAsia="zh-CN"/>
        </w:rPr>
        <w:t xml:space="preserve">standards are implemented in favor of the most vulnerable of urban citizens. </w:t>
      </w:r>
    </w:p>
    <w:p w14:paraId="71491297" w14:textId="77777777" w:rsidR="00E258FD" w:rsidRDefault="00E258FD">
      <w:pPr>
        <w:spacing w:before="0" w:beforeAutospacing="0" w:after="0" w:line="360" w:lineRule="auto"/>
        <w:jc w:val="both"/>
        <w:rPr>
          <w:rFonts w:ascii="Gill Sans MT" w:eastAsia="Calibri" w:hAnsi="Gill Sans MT"/>
          <w:sz w:val="24"/>
          <w:szCs w:val="24"/>
          <w:lang w:eastAsia="zh-CN"/>
        </w:rPr>
      </w:pPr>
    </w:p>
    <w:p w14:paraId="1B5B103C"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The Kenyan government has had slum upgrading initiatives i.e., the Kenya Slum Upgrading Program (KENSUP) and the Kenya Informal Settlement Improvement Project (KISIP). These programs have been aimed at improving the livelihoods of people living and working</w:t>
      </w:r>
      <w:r>
        <w:rPr>
          <w:rFonts w:ascii="Gill Sans MT" w:eastAsia="Calibri" w:hAnsi="Gill Sans MT"/>
          <w:sz w:val="24"/>
          <w:szCs w:val="24"/>
          <w:lang w:eastAsia="zh-CN"/>
        </w:rPr>
        <w:t xml:space="preserve"> in slums and informal settlements which entails promoting, facilitating, and where necessary, providing security of tenure, housing improvement, income generation and physical and social infrastructure. Pamoja Trust therefore seeks to review the context a</w:t>
      </w:r>
      <w:r>
        <w:rPr>
          <w:rFonts w:ascii="Gill Sans MT" w:eastAsia="Calibri" w:hAnsi="Gill Sans MT"/>
          <w:sz w:val="24"/>
          <w:szCs w:val="24"/>
          <w:lang w:eastAsia="zh-CN"/>
        </w:rPr>
        <w:t xml:space="preserve">nd document the status thus far.  </w:t>
      </w:r>
    </w:p>
    <w:p w14:paraId="0F8A9E7F" w14:textId="77777777" w:rsidR="00E258FD" w:rsidRDefault="00E258FD">
      <w:pPr>
        <w:spacing w:before="0" w:beforeAutospacing="0" w:after="0" w:line="360" w:lineRule="auto"/>
        <w:jc w:val="both"/>
        <w:rPr>
          <w:rFonts w:ascii="Gill Sans MT" w:eastAsia="Calibri" w:hAnsi="Gill Sans MT"/>
          <w:sz w:val="24"/>
          <w:szCs w:val="24"/>
          <w:lang w:eastAsia="zh-CN"/>
        </w:rPr>
      </w:pPr>
    </w:p>
    <w:p w14:paraId="53EF39AA"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The findings of this report has found that previous efforts of KENSUP and KISIP achieved the following results: (i) </w:t>
      </w:r>
      <w:r>
        <w:rPr>
          <w:rFonts w:ascii="Gill Sans MT" w:hAnsi="Gill Sans MT"/>
          <w:bCs/>
          <w:sz w:val="24"/>
          <w:szCs w:val="24"/>
        </w:rPr>
        <w:t>institutional structures were established within Soweto East, including a settlement executive committee</w:t>
      </w:r>
      <w:r>
        <w:rPr>
          <w:rFonts w:ascii="Gill Sans MT" w:hAnsi="Gill Sans MT"/>
          <w:bCs/>
          <w:sz w:val="24"/>
          <w:szCs w:val="24"/>
        </w:rPr>
        <w:t>, a programme implementation unit, and an inter-agency coordination committee; (ii) physical mapping and socio-economic analysis of Soweto East were completed in collaboration with the Government of Kenya; (iii) a draft master plan for Kibera was completed</w:t>
      </w:r>
      <w:r>
        <w:rPr>
          <w:rFonts w:ascii="Gill Sans MT" w:hAnsi="Gill Sans MT"/>
          <w:bCs/>
          <w:sz w:val="24"/>
          <w:szCs w:val="24"/>
        </w:rPr>
        <w:t>; and (iv) construction of 600 relocation houses at the Lang’ata decanting site was initiated.</w:t>
      </w:r>
    </w:p>
    <w:p w14:paraId="1B840C32" w14:textId="77777777" w:rsidR="00E258FD" w:rsidRDefault="00E258FD">
      <w:pPr>
        <w:spacing w:before="0" w:beforeAutospacing="0" w:after="0" w:line="360" w:lineRule="auto"/>
        <w:jc w:val="both"/>
        <w:rPr>
          <w:rFonts w:ascii="Gill Sans MT" w:hAnsi="Gill Sans MT"/>
          <w:sz w:val="24"/>
          <w:szCs w:val="24"/>
        </w:rPr>
      </w:pPr>
    </w:p>
    <w:p w14:paraId="33D4A10C" w14:textId="77777777" w:rsidR="00E258FD" w:rsidRDefault="001372B9">
      <w:pPr>
        <w:spacing w:before="0" w:beforeAutospacing="0" w:after="0" w:line="360" w:lineRule="auto"/>
        <w:jc w:val="both"/>
        <w:rPr>
          <w:rFonts w:ascii="Gill Sans MT" w:hAnsi="Gill Sans MT"/>
          <w:bCs/>
          <w:sz w:val="24"/>
          <w:szCs w:val="24"/>
        </w:rPr>
      </w:pPr>
      <w:r>
        <w:rPr>
          <w:rFonts w:ascii="Gill Sans MT" w:hAnsi="Gill Sans MT"/>
          <w:sz w:val="24"/>
          <w:szCs w:val="24"/>
        </w:rPr>
        <w:t>Despite these results, there remain many challenges to slum upgrading efforts within the informal settlements in Kenya. This report suggests that to address som</w:t>
      </w:r>
      <w:r>
        <w:rPr>
          <w:rFonts w:ascii="Gill Sans MT" w:hAnsi="Gill Sans MT"/>
          <w:sz w:val="24"/>
          <w:szCs w:val="24"/>
        </w:rPr>
        <w:t>e of these challenges,</w:t>
      </w:r>
      <w:r>
        <w:rPr>
          <w:rFonts w:ascii="Gill Sans MT" w:hAnsi="Gill Sans MT"/>
          <w:bCs/>
          <w:sz w:val="24"/>
          <w:szCs w:val="24"/>
        </w:rPr>
        <w:t xml:space="preserve"> emphasis should be placed on careful design and management of slum upgrading initiatives with particular focus on affordability, community involvement, and protection of slum dwellers from evictions and violence. This report also hol</w:t>
      </w:r>
      <w:r>
        <w:rPr>
          <w:rFonts w:ascii="Gill Sans MT" w:hAnsi="Gill Sans MT"/>
          <w:bCs/>
          <w:sz w:val="24"/>
          <w:szCs w:val="24"/>
        </w:rPr>
        <w:t xml:space="preserve">ds that slum upgrading requires huge resources, plus long-term political will and stamina to see the process through in spite of the setbacks, dissatisfaction and </w:t>
      </w:r>
      <w:r>
        <w:rPr>
          <w:rFonts w:ascii="Gill Sans MT" w:hAnsi="Gill Sans MT"/>
          <w:bCs/>
          <w:sz w:val="24"/>
          <w:szCs w:val="24"/>
        </w:rPr>
        <w:lastRenderedPageBreak/>
        <w:t xml:space="preserve">conflicts that will, inevitably, occur along the way. In this daunting context, it is to the </w:t>
      </w:r>
      <w:r>
        <w:rPr>
          <w:rFonts w:ascii="Gill Sans MT" w:hAnsi="Gill Sans MT"/>
          <w:bCs/>
          <w:sz w:val="24"/>
          <w:szCs w:val="24"/>
        </w:rPr>
        <w:t>immense credit of the Government and its development partners that slum upgrading features prominently in Kenya's recent housing policy.</w:t>
      </w:r>
    </w:p>
    <w:p w14:paraId="7F331CC0" w14:textId="77777777" w:rsidR="00E258FD" w:rsidRDefault="00E258FD">
      <w:pPr>
        <w:spacing w:before="0" w:beforeAutospacing="0" w:after="0" w:line="360" w:lineRule="auto"/>
        <w:jc w:val="both"/>
        <w:rPr>
          <w:rFonts w:ascii="Gill Sans MT" w:hAnsi="Gill Sans MT"/>
          <w:bCs/>
          <w:sz w:val="24"/>
          <w:szCs w:val="24"/>
        </w:rPr>
      </w:pPr>
    </w:p>
    <w:p w14:paraId="66E2F852" w14:textId="77777777" w:rsidR="00E258FD" w:rsidRDefault="001372B9">
      <w:pPr>
        <w:spacing w:before="0" w:beforeAutospacing="0" w:after="0" w:line="360" w:lineRule="auto"/>
        <w:jc w:val="both"/>
        <w:rPr>
          <w:rFonts w:ascii="Gill Sans MT" w:hAnsi="Gill Sans MT"/>
          <w:bCs/>
          <w:sz w:val="24"/>
          <w:szCs w:val="24"/>
        </w:rPr>
      </w:pPr>
      <w:r>
        <w:rPr>
          <w:rFonts w:ascii="Gill Sans MT" w:hAnsi="Gill Sans MT"/>
          <w:bCs/>
          <w:sz w:val="24"/>
          <w:szCs w:val="24"/>
        </w:rPr>
        <w:t>In this regard therefore, this report makes the following recommendations to different stakeholders involved in slum u</w:t>
      </w:r>
      <w:r>
        <w:rPr>
          <w:rFonts w:ascii="Gill Sans MT" w:hAnsi="Gill Sans MT"/>
          <w:bCs/>
          <w:sz w:val="24"/>
          <w:szCs w:val="24"/>
        </w:rPr>
        <w:t>pgrading initiatives in Kenya:</w:t>
      </w:r>
    </w:p>
    <w:p w14:paraId="2C5D4452" w14:textId="77777777" w:rsidR="00E258FD" w:rsidRDefault="001372B9">
      <w:pPr>
        <w:spacing w:before="0" w:beforeAutospacing="0" w:after="0" w:line="360" w:lineRule="auto"/>
        <w:jc w:val="both"/>
        <w:rPr>
          <w:rFonts w:ascii="Gill Sans MT" w:hAnsi="Gill Sans MT"/>
          <w:b/>
          <w:bCs/>
          <w:i/>
          <w:sz w:val="24"/>
          <w:szCs w:val="24"/>
        </w:rPr>
      </w:pPr>
      <w:r>
        <w:rPr>
          <w:rFonts w:ascii="Gill Sans MT" w:hAnsi="Gill Sans MT"/>
          <w:b/>
          <w:bCs/>
          <w:i/>
          <w:sz w:val="24"/>
          <w:szCs w:val="24"/>
        </w:rPr>
        <w:t xml:space="preserve">Recommendations to government </w:t>
      </w:r>
    </w:p>
    <w:p w14:paraId="1112D229"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Government should give effect to the provisions of the NLP that canvasses security of tenure for land rights in informal settlements and the informal activities thereto.</w:t>
      </w:r>
    </w:p>
    <w:p w14:paraId="1A15369B"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Slum </w:t>
      </w:r>
      <w:r>
        <w:rPr>
          <w:rFonts w:ascii="Gill Sans MT" w:hAnsi="Gill Sans MT"/>
          <w:bCs/>
          <w:sz w:val="24"/>
          <w:szCs w:val="24"/>
        </w:rPr>
        <w:t>Upgrading and Prevention policy should be implemented to activate the inventory of informal settlements for purposes of planning and implementation of holistic upgrading and other improvement programs</w:t>
      </w:r>
    </w:p>
    <w:p w14:paraId="3ADC8544"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deepen legislative, policy and ot</w:t>
      </w:r>
      <w:r>
        <w:rPr>
          <w:rFonts w:ascii="Gill Sans MT" w:hAnsi="Gill Sans MT"/>
          <w:bCs/>
          <w:sz w:val="24"/>
          <w:szCs w:val="24"/>
        </w:rPr>
        <w:t>her measures to guarantee the right of access to adequate housing particularly for the vulnerable and the marginalized.</w:t>
      </w:r>
    </w:p>
    <w:p w14:paraId="38F15AF2"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implement the evictions and resettlements procedures contained in the IDP Act to guide processes and avert the ram</w:t>
      </w:r>
      <w:r>
        <w:rPr>
          <w:rFonts w:ascii="Gill Sans MT" w:hAnsi="Gill Sans MT"/>
          <w:bCs/>
          <w:sz w:val="24"/>
          <w:szCs w:val="24"/>
        </w:rPr>
        <w:t xml:space="preserve">pant human rights violations accompanying evictions. </w:t>
      </w:r>
    </w:p>
    <w:p w14:paraId="1E3AB634"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prioritize social housing in the big four agenda to ensure inclusivity in addressing the housing challenge in the country.</w:t>
      </w:r>
    </w:p>
    <w:p w14:paraId="4D6CBCE2"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expedite the registration of commun</w:t>
      </w:r>
      <w:r>
        <w:rPr>
          <w:rFonts w:ascii="Gill Sans MT" w:hAnsi="Gill Sans MT"/>
          <w:bCs/>
          <w:sz w:val="24"/>
          <w:szCs w:val="24"/>
        </w:rPr>
        <w:t>ity land.</w:t>
      </w:r>
    </w:p>
    <w:p w14:paraId="5F971BB1" w14:textId="77777777" w:rsidR="00E258FD" w:rsidRDefault="00E258FD">
      <w:pPr>
        <w:autoSpaceDE w:val="0"/>
        <w:autoSpaceDN w:val="0"/>
        <w:adjustRightInd w:val="0"/>
        <w:spacing w:before="0" w:beforeAutospacing="0" w:after="0" w:line="360" w:lineRule="auto"/>
        <w:jc w:val="both"/>
        <w:rPr>
          <w:rFonts w:ascii="Gill Sans MT" w:hAnsi="Gill Sans MT"/>
          <w:sz w:val="24"/>
          <w:szCs w:val="24"/>
        </w:rPr>
      </w:pPr>
    </w:p>
    <w:p w14:paraId="430E3D3A" w14:textId="77777777" w:rsidR="00E258FD" w:rsidRDefault="001372B9">
      <w:pPr>
        <w:spacing w:before="0" w:beforeAutospacing="0" w:after="0" w:line="360" w:lineRule="auto"/>
        <w:jc w:val="both"/>
        <w:rPr>
          <w:rFonts w:ascii="Gill Sans MT" w:hAnsi="Gill Sans MT"/>
          <w:b/>
          <w:bCs/>
          <w:i/>
          <w:sz w:val="24"/>
          <w:szCs w:val="24"/>
        </w:rPr>
      </w:pPr>
      <w:r>
        <w:rPr>
          <w:rFonts w:ascii="Gill Sans MT" w:hAnsi="Gill Sans MT"/>
          <w:b/>
          <w:bCs/>
          <w:i/>
          <w:sz w:val="24"/>
          <w:szCs w:val="24"/>
        </w:rPr>
        <w:t>Recommendations to development partners</w:t>
      </w:r>
    </w:p>
    <w:p w14:paraId="144FB171"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Broaden co-creation efforts in community programming for slum upgrading initiatives to be as accurate as possible in addressing the needs of communities in such initiatives </w:t>
      </w:r>
    </w:p>
    <w:p w14:paraId="5056E795"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Given the multi-pronged challen</w:t>
      </w:r>
      <w:r>
        <w:rPr>
          <w:rFonts w:ascii="Gill Sans MT" w:hAnsi="Gill Sans MT"/>
          <w:bCs/>
          <w:sz w:val="24"/>
          <w:szCs w:val="24"/>
        </w:rPr>
        <w:t xml:space="preserve">ges that face initiatives of slum upgrading, development partners should consider initiatives that have greater grassroots communities involvement other than implementations through intermediaries </w:t>
      </w:r>
    </w:p>
    <w:p w14:paraId="30FF2D6D"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Entrench and encourage full public participation in critic</w:t>
      </w:r>
      <w:r>
        <w:rPr>
          <w:rFonts w:ascii="Gill Sans MT" w:hAnsi="Gill Sans MT"/>
          <w:bCs/>
          <w:sz w:val="24"/>
          <w:szCs w:val="24"/>
        </w:rPr>
        <w:t xml:space="preserve">al development decisions targeting slum dwellers upgrading </w:t>
      </w:r>
    </w:p>
    <w:p w14:paraId="487E7076" w14:textId="77777777" w:rsidR="00E258FD" w:rsidRDefault="00E258FD">
      <w:pPr>
        <w:spacing w:before="0" w:beforeAutospacing="0" w:after="0" w:line="360" w:lineRule="auto"/>
        <w:rPr>
          <w:rFonts w:ascii="Gill Sans MT" w:hAnsi="Gill Sans MT"/>
          <w:b/>
          <w:bCs/>
          <w:i/>
          <w:sz w:val="24"/>
          <w:szCs w:val="24"/>
        </w:rPr>
      </w:pPr>
    </w:p>
    <w:p w14:paraId="22CB4750" w14:textId="77777777" w:rsidR="00EB3ACF" w:rsidRDefault="00EB3ACF">
      <w:pPr>
        <w:spacing w:before="0" w:beforeAutospacing="0" w:after="0" w:line="360" w:lineRule="auto"/>
        <w:rPr>
          <w:rFonts w:ascii="Gill Sans MT" w:hAnsi="Gill Sans MT"/>
          <w:b/>
          <w:bCs/>
          <w:i/>
          <w:sz w:val="24"/>
          <w:szCs w:val="24"/>
        </w:rPr>
      </w:pPr>
    </w:p>
    <w:p w14:paraId="35AD2BBF" w14:textId="53E567C8" w:rsidR="00E258FD" w:rsidRDefault="001372B9">
      <w:pPr>
        <w:spacing w:before="0" w:beforeAutospacing="0" w:after="0" w:line="360" w:lineRule="auto"/>
        <w:rPr>
          <w:rFonts w:ascii="Gill Sans MT" w:hAnsi="Gill Sans MT"/>
          <w:b/>
          <w:bCs/>
          <w:i/>
          <w:sz w:val="24"/>
          <w:szCs w:val="24"/>
        </w:rPr>
      </w:pPr>
      <w:r>
        <w:rPr>
          <w:rFonts w:ascii="Gill Sans MT" w:hAnsi="Gill Sans MT"/>
          <w:b/>
          <w:bCs/>
          <w:i/>
          <w:sz w:val="24"/>
          <w:szCs w:val="24"/>
        </w:rPr>
        <w:lastRenderedPageBreak/>
        <w:t xml:space="preserve">Recommendations to the community </w:t>
      </w:r>
    </w:p>
    <w:p w14:paraId="4F73FFCC"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Support efforts and initiatives that encourage self-organizing and mobilization of communities into thematic groups as agencies for advocacy and </w:t>
      </w:r>
      <w:r>
        <w:rPr>
          <w:rFonts w:ascii="Gill Sans MT" w:hAnsi="Gill Sans MT"/>
          <w:bCs/>
          <w:sz w:val="24"/>
          <w:szCs w:val="24"/>
        </w:rPr>
        <w:t>agitating for their interests</w:t>
      </w:r>
    </w:p>
    <w:p w14:paraId="302924E7"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Communities should take ownership and personal initiative to protect public installations and development projects set up to benefit the community against vandalism and related wastages that may derail such projects.</w:t>
      </w:r>
    </w:p>
    <w:p w14:paraId="35798C0F"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Encourage</w:t>
      </w:r>
      <w:r>
        <w:rPr>
          <w:rFonts w:ascii="Gill Sans MT" w:hAnsi="Gill Sans MT"/>
          <w:bCs/>
          <w:sz w:val="24"/>
          <w:szCs w:val="24"/>
        </w:rPr>
        <w:t xml:space="preserve"> communities to be proactive and willing to participate in public participation forums from which they can adequately agitate for the results they want to see in their respective communities. </w:t>
      </w:r>
    </w:p>
    <w:p w14:paraId="12FEE2A2" w14:textId="77777777" w:rsidR="00E258FD" w:rsidRDefault="001372B9">
      <w:pPr>
        <w:spacing w:before="0" w:beforeAutospacing="0" w:after="0" w:line="360" w:lineRule="auto"/>
        <w:rPr>
          <w:rFonts w:ascii="Gill Sans MT" w:eastAsia="Calibri" w:hAnsi="Gill Sans MT"/>
          <w:sz w:val="24"/>
          <w:szCs w:val="24"/>
          <w:lang w:eastAsia="zh-CN"/>
        </w:rPr>
      </w:pPr>
      <w:r>
        <w:rPr>
          <w:rFonts w:ascii="Gill Sans MT" w:eastAsia="Calibri" w:hAnsi="Gill Sans MT"/>
          <w:sz w:val="24"/>
          <w:szCs w:val="24"/>
          <w:lang w:eastAsia="zh-CN"/>
        </w:rPr>
        <w:br w:type="page"/>
      </w:r>
    </w:p>
    <w:p w14:paraId="574929C1" w14:textId="77777777" w:rsidR="00E258FD" w:rsidRDefault="001372B9">
      <w:pPr>
        <w:pStyle w:val="Heading2"/>
        <w:spacing w:before="0" w:beforeAutospacing="0" w:line="360" w:lineRule="auto"/>
        <w:rPr>
          <w:rFonts w:ascii="Gill Sans MT" w:hAnsi="Gill Sans MT"/>
          <w:color w:val="0070C0"/>
          <w:lang w:eastAsia="zh-CN"/>
        </w:rPr>
      </w:pPr>
      <w:bookmarkStart w:id="1" w:name="_Toc106369879"/>
      <w:r>
        <w:rPr>
          <w:rFonts w:ascii="Gill Sans MT" w:hAnsi="Gill Sans MT"/>
          <w:color w:val="0070C0"/>
          <w:lang w:eastAsia="zh-CN"/>
        </w:rPr>
        <w:lastRenderedPageBreak/>
        <w:t>Acknowledgement</w:t>
      </w:r>
      <w:bookmarkEnd w:id="1"/>
      <w:r>
        <w:rPr>
          <w:rFonts w:ascii="Gill Sans MT" w:hAnsi="Gill Sans MT"/>
          <w:color w:val="0070C0"/>
          <w:lang w:eastAsia="zh-CN"/>
        </w:rPr>
        <w:t xml:space="preserve"> </w:t>
      </w:r>
    </w:p>
    <w:p w14:paraId="465C4ECF" w14:textId="1FEAB1A5" w:rsidR="00E258FD" w:rsidRDefault="00817276" w:rsidP="00D06C79">
      <w:pPr>
        <w:spacing w:before="0" w:beforeAutospacing="0" w:after="0" w:line="360" w:lineRule="auto"/>
        <w:jc w:val="both"/>
        <w:rPr>
          <w:rFonts w:ascii="Gill Sans MT" w:eastAsia="Calibri" w:hAnsi="Gill Sans MT"/>
          <w:sz w:val="24"/>
          <w:szCs w:val="24"/>
          <w:lang w:eastAsia="zh-CN"/>
        </w:rPr>
      </w:pPr>
      <w:r w:rsidRPr="00817276">
        <w:rPr>
          <w:rFonts w:ascii="Gill Sans MT" w:eastAsia="Calibri" w:hAnsi="Gill Sans MT"/>
          <w:sz w:val="24"/>
          <w:szCs w:val="24"/>
          <w:lang w:eastAsia="zh-CN"/>
        </w:rPr>
        <w:t>Pamoja Trust expresses its sincere gratitude</w:t>
      </w:r>
      <w:r>
        <w:rPr>
          <w:rFonts w:ascii="Gill Sans MT" w:eastAsia="Calibri" w:hAnsi="Gill Sans MT"/>
          <w:sz w:val="24"/>
          <w:szCs w:val="24"/>
          <w:lang w:eastAsia="zh-CN"/>
        </w:rPr>
        <w:t xml:space="preserve"> to </w:t>
      </w:r>
      <w:r w:rsidR="000B4AAD">
        <w:rPr>
          <w:rFonts w:ascii="Gill Sans MT" w:eastAsia="Calibri" w:hAnsi="Gill Sans MT"/>
          <w:sz w:val="24"/>
          <w:szCs w:val="24"/>
          <w:lang w:eastAsia="zh-CN"/>
        </w:rPr>
        <w:t>the staff, community members and</w:t>
      </w:r>
      <w:r w:rsidR="00D06C79">
        <w:rPr>
          <w:rFonts w:ascii="Gill Sans MT" w:eastAsia="Calibri" w:hAnsi="Gill Sans MT"/>
          <w:sz w:val="24"/>
          <w:szCs w:val="24"/>
          <w:lang w:eastAsia="zh-CN"/>
        </w:rPr>
        <w:t xml:space="preserve"> </w:t>
      </w:r>
      <w:r w:rsidR="000B4AAD">
        <w:rPr>
          <w:rFonts w:ascii="Gill Sans MT" w:eastAsia="Calibri" w:hAnsi="Gill Sans MT"/>
          <w:sz w:val="24"/>
          <w:szCs w:val="24"/>
          <w:lang w:eastAsia="zh-CN"/>
        </w:rPr>
        <w:t>partners who</w:t>
      </w:r>
      <w:r w:rsidR="008335E4">
        <w:rPr>
          <w:rFonts w:ascii="Gill Sans MT" w:eastAsia="Calibri" w:hAnsi="Gill Sans MT"/>
          <w:sz w:val="24"/>
          <w:szCs w:val="24"/>
          <w:lang w:eastAsia="zh-CN"/>
        </w:rPr>
        <w:t xml:space="preserve"> </w:t>
      </w:r>
      <w:r w:rsidR="00D06C79">
        <w:rPr>
          <w:rFonts w:ascii="Gill Sans MT" w:eastAsia="Calibri" w:hAnsi="Gill Sans MT"/>
          <w:sz w:val="24"/>
          <w:szCs w:val="24"/>
          <w:lang w:eastAsia="zh-CN"/>
        </w:rPr>
        <w:t>contributed to the development of this report</w:t>
      </w:r>
      <w:r w:rsidR="000B4AAD">
        <w:rPr>
          <w:rFonts w:ascii="Gill Sans MT" w:eastAsia="Calibri" w:hAnsi="Gill Sans MT"/>
          <w:sz w:val="24"/>
          <w:szCs w:val="24"/>
          <w:lang w:eastAsia="zh-CN"/>
        </w:rPr>
        <w:t xml:space="preserve">. Special </w:t>
      </w:r>
      <w:r w:rsidR="00D06C79">
        <w:rPr>
          <w:rFonts w:ascii="Gill Sans MT" w:eastAsia="Calibri" w:hAnsi="Gill Sans MT"/>
          <w:sz w:val="24"/>
          <w:szCs w:val="24"/>
          <w:lang w:eastAsia="zh-CN"/>
        </w:rPr>
        <w:t xml:space="preserve">gratitude </w:t>
      </w:r>
      <w:r w:rsidR="000B4AAD">
        <w:rPr>
          <w:rFonts w:ascii="Gill Sans MT" w:eastAsia="Calibri" w:hAnsi="Gill Sans MT"/>
          <w:sz w:val="24"/>
          <w:szCs w:val="24"/>
          <w:lang w:eastAsia="zh-CN"/>
        </w:rPr>
        <w:t xml:space="preserve">goes to </w:t>
      </w:r>
      <w:proofErr w:type="spellStart"/>
      <w:r w:rsidR="000B4AAD">
        <w:rPr>
          <w:rFonts w:ascii="Gill Sans MT" w:eastAsia="Calibri" w:hAnsi="Gill Sans MT"/>
          <w:sz w:val="24"/>
          <w:szCs w:val="24"/>
          <w:lang w:eastAsia="zh-CN"/>
        </w:rPr>
        <w:t>Misereor</w:t>
      </w:r>
      <w:proofErr w:type="spellEnd"/>
      <w:r>
        <w:rPr>
          <w:rFonts w:ascii="Gill Sans MT" w:eastAsia="Calibri" w:hAnsi="Gill Sans MT"/>
          <w:sz w:val="24"/>
          <w:szCs w:val="24"/>
          <w:lang w:eastAsia="zh-CN"/>
        </w:rPr>
        <w:t xml:space="preserve"> for the financial support </w:t>
      </w:r>
      <w:r w:rsidR="008335E4">
        <w:rPr>
          <w:rFonts w:ascii="Gill Sans MT" w:eastAsia="Calibri" w:hAnsi="Gill Sans MT"/>
          <w:sz w:val="24"/>
          <w:szCs w:val="24"/>
          <w:lang w:eastAsia="zh-CN"/>
        </w:rPr>
        <w:t>given towards generation of this report</w:t>
      </w:r>
      <w:r w:rsidRPr="00817276">
        <w:rPr>
          <w:rFonts w:ascii="Gill Sans MT" w:eastAsia="Calibri" w:hAnsi="Gill Sans MT"/>
          <w:sz w:val="24"/>
          <w:szCs w:val="24"/>
          <w:lang w:eastAsia="zh-CN"/>
        </w:rPr>
        <w:t xml:space="preserve">. We </w:t>
      </w:r>
      <w:r w:rsidR="00D06C79">
        <w:rPr>
          <w:rFonts w:ascii="Gill Sans MT" w:eastAsia="Calibri" w:hAnsi="Gill Sans MT"/>
          <w:sz w:val="24"/>
          <w:szCs w:val="24"/>
          <w:lang w:eastAsia="zh-CN"/>
        </w:rPr>
        <w:t xml:space="preserve">further </w:t>
      </w:r>
      <w:r w:rsidRPr="00817276">
        <w:rPr>
          <w:rFonts w:ascii="Gill Sans MT" w:eastAsia="Calibri" w:hAnsi="Gill Sans MT"/>
          <w:sz w:val="24"/>
          <w:szCs w:val="24"/>
          <w:lang w:eastAsia="zh-CN"/>
        </w:rPr>
        <w:t xml:space="preserve">acknowledge </w:t>
      </w:r>
      <w:r>
        <w:rPr>
          <w:rFonts w:ascii="Gill Sans MT" w:eastAsia="Calibri" w:hAnsi="Gill Sans MT"/>
          <w:sz w:val="24"/>
          <w:szCs w:val="24"/>
          <w:lang w:eastAsia="zh-CN"/>
        </w:rPr>
        <w:t xml:space="preserve">the </w:t>
      </w:r>
      <w:r w:rsidRPr="00817276">
        <w:rPr>
          <w:rFonts w:ascii="Gill Sans MT" w:eastAsia="Calibri" w:hAnsi="Gill Sans MT"/>
          <w:sz w:val="24"/>
          <w:szCs w:val="24"/>
          <w:lang w:eastAsia="zh-CN"/>
        </w:rPr>
        <w:t>technical</w:t>
      </w:r>
      <w:r>
        <w:rPr>
          <w:rFonts w:ascii="Gill Sans MT" w:eastAsia="Calibri" w:hAnsi="Gill Sans MT"/>
          <w:sz w:val="24"/>
          <w:szCs w:val="24"/>
          <w:lang w:eastAsia="zh-CN"/>
        </w:rPr>
        <w:t xml:space="preserve"> support </w:t>
      </w:r>
      <w:r w:rsidR="00504B3C">
        <w:rPr>
          <w:rFonts w:ascii="Gill Sans MT" w:eastAsia="Calibri" w:hAnsi="Gill Sans MT"/>
          <w:sz w:val="24"/>
          <w:szCs w:val="24"/>
          <w:lang w:eastAsia="zh-CN"/>
        </w:rPr>
        <w:t>by Patrick Ochieng as the lead researcher</w:t>
      </w:r>
      <w:r w:rsidR="00D06C79">
        <w:rPr>
          <w:rFonts w:ascii="Gill Sans MT" w:eastAsia="Calibri" w:hAnsi="Gill Sans MT"/>
          <w:sz w:val="24"/>
          <w:szCs w:val="24"/>
          <w:lang w:eastAsia="zh-CN"/>
        </w:rPr>
        <w:t xml:space="preserve"> </w:t>
      </w:r>
      <w:r w:rsidR="00504B3C">
        <w:rPr>
          <w:rFonts w:ascii="Gill Sans MT" w:eastAsia="Calibri" w:hAnsi="Gill Sans MT"/>
          <w:sz w:val="24"/>
          <w:szCs w:val="24"/>
          <w:lang w:eastAsia="zh-CN"/>
        </w:rPr>
        <w:t xml:space="preserve">assisted by Jacob </w:t>
      </w:r>
      <w:proofErr w:type="spellStart"/>
      <w:r w:rsidR="00504B3C">
        <w:rPr>
          <w:rFonts w:ascii="Gill Sans MT" w:eastAsia="Calibri" w:hAnsi="Gill Sans MT"/>
          <w:sz w:val="24"/>
          <w:szCs w:val="24"/>
          <w:lang w:eastAsia="zh-CN"/>
        </w:rPr>
        <w:t>Opara</w:t>
      </w:r>
      <w:proofErr w:type="spellEnd"/>
      <w:r w:rsidR="00D06C79">
        <w:rPr>
          <w:rFonts w:ascii="Gill Sans MT" w:eastAsia="Calibri" w:hAnsi="Gill Sans MT"/>
          <w:sz w:val="24"/>
          <w:szCs w:val="24"/>
          <w:lang w:eastAsia="zh-CN"/>
        </w:rPr>
        <w:t>.</w:t>
      </w:r>
    </w:p>
    <w:p w14:paraId="3CF74A70" w14:textId="5D1AC136" w:rsidR="00D06C79" w:rsidRDefault="00D06C79" w:rsidP="00D06C79">
      <w:pPr>
        <w:spacing w:before="0" w:beforeAutospacing="0" w:after="0" w:line="360" w:lineRule="auto"/>
        <w:jc w:val="both"/>
        <w:rPr>
          <w:rFonts w:ascii="Gill Sans MT" w:eastAsia="Calibri" w:hAnsi="Gill Sans MT"/>
          <w:sz w:val="24"/>
          <w:szCs w:val="24"/>
          <w:lang w:eastAsia="zh-CN"/>
        </w:rPr>
      </w:pPr>
    </w:p>
    <w:p w14:paraId="66732B74" w14:textId="02F36F25" w:rsidR="00D06C79" w:rsidRDefault="00D06C79" w:rsidP="00D06C79">
      <w:pPr>
        <w:spacing w:before="0" w:beforeAutospacing="0" w:after="0" w:line="360" w:lineRule="auto"/>
        <w:jc w:val="both"/>
        <w:rPr>
          <w:rFonts w:ascii="Gill Sans MT" w:eastAsia="Calibri" w:hAnsi="Gill Sans MT"/>
          <w:sz w:val="24"/>
          <w:szCs w:val="24"/>
          <w:lang w:eastAsia="zh-CN"/>
        </w:rPr>
      </w:pPr>
    </w:p>
    <w:p w14:paraId="4FFB9237" w14:textId="01253588" w:rsidR="00EB3ACF" w:rsidRDefault="00EB3ACF" w:rsidP="00D06C79">
      <w:pPr>
        <w:spacing w:before="0" w:beforeAutospacing="0" w:after="0" w:line="360" w:lineRule="auto"/>
        <w:jc w:val="both"/>
        <w:rPr>
          <w:rFonts w:ascii="Gill Sans MT" w:eastAsia="Calibri" w:hAnsi="Gill Sans MT"/>
          <w:sz w:val="24"/>
          <w:szCs w:val="24"/>
          <w:lang w:eastAsia="zh-CN"/>
        </w:rPr>
      </w:pPr>
    </w:p>
    <w:p w14:paraId="0B835BF4" w14:textId="18FB158D" w:rsidR="00EB3ACF" w:rsidRDefault="00EB3ACF" w:rsidP="00D06C79">
      <w:pPr>
        <w:spacing w:before="0" w:beforeAutospacing="0" w:after="0" w:line="360" w:lineRule="auto"/>
        <w:jc w:val="both"/>
        <w:rPr>
          <w:rFonts w:ascii="Gill Sans MT" w:eastAsia="Calibri" w:hAnsi="Gill Sans MT"/>
          <w:sz w:val="24"/>
          <w:szCs w:val="24"/>
          <w:lang w:eastAsia="zh-CN"/>
        </w:rPr>
      </w:pPr>
    </w:p>
    <w:p w14:paraId="73768D5F" w14:textId="1C331FEA" w:rsidR="00EB3ACF" w:rsidRDefault="00EB3ACF" w:rsidP="00D06C79">
      <w:pPr>
        <w:spacing w:before="0" w:beforeAutospacing="0" w:after="0" w:line="360" w:lineRule="auto"/>
        <w:jc w:val="both"/>
        <w:rPr>
          <w:rFonts w:ascii="Gill Sans MT" w:eastAsia="Calibri" w:hAnsi="Gill Sans MT"/>
          <w:sz w:val="24"/>
          <w:szCs w:val="24"/>
          <w:lang w:eastAsia="zh-CN"/>
        </w:rPr>
      </w:pPr>
    </w:p>
    <w:p w14:paraId="705C1737" w14:textId="1DA00B9B" w:rsidR="00EB3ACF" w:rsidRDefault="00EB3ACF" w:rsidP="00D06C79">
      <w:pPr>
        <w:spacing w:before="0" w:beforeAutospacing="0" w:after="0" w:line="360" w:lineRule="auto"/>
        <w:jc w:val="both"/>
        <w:rPr>
          <w:rFonts w:ascii="Gill Sans MT" w:eastAsia="Calibri" w:hAnsi="Gill Sans MT"/>
          <w:sz w:val="24"/>
          <w:szCs w:val="24"/>
          <w:lang w:eastAsia="zh-CN"/>
        </w:rPr>
      </w:pPr>
    </w:p>
    <w:p w14:paraId="1FE9FA93" w14:textId="2B4088E9" w:rsidR="00EB3ACF" w:rsidRDefault="00EB3ACF" w:rsidP="00D06C79">
      <w:pPr>
        <w:spacing w:before="0" w:beforeAutospacing="0" w:after="0" w:line="360" w:lineRule="auto"/>
        <w:jc w:val="both"/>
        <w:rPr>
          <w:rFonts w:ascii="Gill Sans MT" w:eastAsia="Calibri" w:hAnsi="Gill Sans MT"/>
          <w:sz w:val="24"/>
          <w:szCs w:val="24"/>
          <w:lang w:eastAsia="zh-CN"/>
        </w:rPr>
      </w:pPr>
    </w:p>
    <w:p w14:paraId="65D129A2" w14:textId="3AE41251" w:rsidR="00EB3ACF" w:rsidRDefault="00EB3ACF" w:rsidP="00D06C79">
      <w:pPr>
        <w:spacing w:before="0" w:beforeAutospacing="0" w:after="0" w:line="360" w:lineRule="auto"/>
        <w:jc w:val="both"/>
        <w:rPr>
          <w:rFonts w:ascii="Gill Sans MT" w:eastAsia="Calibri" w:hAnsi="Gill Sans MT"/>
          <w:sz w:val="24"/>
          <w:szCs w:val="24"/>
          <w:lang w:eastAsia="zh-CN"/>
        </w:rPr>
      </w:pPr>
    </w:p>
    <w:p w14:paraId="5A9F8C0F" w14:textId="3D180CE8" w:rsidR="00EB3ACF" w:rsidRDefault="00EB3ACF" w:rsidP="00D06C79">
      <w:pPr>
        <w:spacing w:before="0" w:beforeAutospacing="0" w:after="0" w:line="360" w:lineRule="auto"/>
        <w:jc w:val="both"/>
        <w:rPr>
          <w:rFonts w:ascii="Gill Sans MT" w:eastAsia="Calibri" w:hAnsi="Gill Sans MT"/>
          <w:sz w:val="24"/>
          <w:szCs w:val="24"/>
          <w:lang w:eastAsia="zh-CN"/>
        </w:rPr>
      </w:pPr>
    </w:p>
    <w:p w14:paraId="5EB3F0D4" w14:textId="4DAF7D10" w:rsidR="00EB3ACF" w:rsidRDefault="00EB3ACF" w:rsidP="00D06C79">
      <w:pPr>
        <w:spacing w:before="0" w:beforeAutospacing="0" w:after="0" w:line="360" w:lineRule="auto"/>
        <w:jc w:val="both"/>
        <w:rPr>
          <w:rFonts w:ascii="Gill Sans MT" w:eastAsia="Calibri" w:hAnsi="Gill Sans MT"/>
          <w:sz w:val="24"/>
          <w:szCs w:val="24"/>
          <w:lang w:eastAsia="zh-CN"/>
        </w:rPr>
      </w:pPr>
    </w:p>
    <w:p w14:paraId="605DA940" w14:textId="53CB807C" w:rsidR="00EB3ACF" w:rsidRDefault="00EB3ACF" w:rsidP="00D06C79">
      <w:pPr>
        <w:spacing w:before="0" w:beforeAutospacing="0" w:after="0" w:line="360" w:lineRule="auto"/>
        <w:jc w:val="both"/>
        <w:rPr>
          <w:rFonts w:ascii="Gill Sans MT" w:eastAsia="Calibri" w:hAnsi="Gill Sans MT"/>
          <w:sz w:val="24"/>
          <w:szCs w:val="24"/>
          <w:lang w:eastAsia="zh-CN"/>
        </w:rPr>
      </w:pPr>
    </w:p>
    <w:p w14:paraId="410CEAFD" w14:textId="13A7F37E" w:rsidR="00EB3ACF" w:rsidRDefault="00EB3ACF" w:rsidP="00D06C79">
      <w:pPr>
        <w:spacing w:before="0" w:beforeAutospacing="0" w:after="0" w:line="360" w:lineRule="auto"/>
        <w:jc w:val="both"/>
        <w:rPr>
          <w:rFonts w:ascii="Gill Sans MT" w:eastAsia="Calibri" w:hAnsi="Gill Sans MT"/>
          <w:sz w:val="24"/>
          <w:szCs w:val="24"/>
          <w:lang w:eastAsia="zh-CN"/>
        </w:rPr>
      </w:pPr>
    </w:p>
    <w:p w14:paraId="2D34EBD6" w14:textId="3B08B307" w:rsidR="00EB3ACF" w:rsidRDefault="00EB3ACF" w:rsidP="00D06C79">
      <w:pPr>
        <w:spacing w:before="0" w:beforeAutospacing="0" w:after="0" w:line="360" w:lineRule="auto"/>
        <w:jc w:val="both"/>
        <w:rPr>
          <w:rFonts w:ascii="Gill Sans MT" w:eastAsia="Calibri" w:hAnsi="Gill Sans MT"/>
          <w:sz w:val="24"/>
          <w:szCs w:val="24"/>
          <w:lang w:eastAsia="zh-CN"/>
        </w:rPr>
      </w:pPr>
    </w:p>
    <w:p w14:paraId="57C8DBB3" w14:textId="3BFA7EA9" w:rsidR="00EB3ACF" w:rsidRDefault="00EB3ACF" w:rsidP="00D06C79">
      <w:pPr>
        <w:spacing w:before="0" w:beforeAutospacing="0" w:after="0" w:line="360" w:lineRule="auto"/>
        <w:jc w:val="both"/>
        <w:rPr>
          <w:rFonts w:ascii="Gill Sans MT" w:eastAsia="Calibri" w:hAnsi="Gill Sans MT"/>
          <w:sz w:val="24"/>
          <w:szCs w:val="24"/>
          <w:lang w:eastAsia="zh-CN"/>
        </w:rPr>
      </w:pPr>
    </w:p>
    <w:p w14:paraId="13D9FEA0" w14:textId="3F397A98" w:rsidR="00EB3ACF" w:rsidRDefault="00EB3ACF" w:rsidP="00D06C79">
      <w:pPr>
        <w:spacing w:before="0" w:beforeAutospacing="0" w:after="0" w:line="360" w:lineRule="auto"/>
        <w:jc w:val="both"/>
        <w:rPr>
          <w:rFonts w:ascii="Gill Sans MT" w:eastAsia="Calibri" w:hAnsi="Gill Sans MT"/>
          <w:sz w:val="24"/>
          <w:szCs w:val="24"/>
          <w:lang w:eastAsia="zh-CN"/>
        </w:rPr>
      </w:pPr>
    </w:p>
    <w:p w14:paraId="1B20E6C6" w14:textId="082F51A5" w:rsidR="00EB3ACF" w:rsidRDefault="00EB3ACF" w:rsidP="00D06C79">
      <w:pPr>
        <w:spacing w:before="0" w:beforeAutospacing="0" w:after="0" w:line="360" w:lineRule="auto"/>
        <w:jc w:val="both"/>
        <w:rPr>
          <w:rFonts w:ascii="Gill Sans MT" w:eastAsia="Calibri" w:hAnsi="Gill Sans MT"/>
          <w:sz w:val="24"/>
          <w:szCs w:val="24"/>
          <w:lang w:eastAsia="zh-CN"/>
        </w:rPr>
      </w:pPr>
    </w:p>
    <w:p w14:paraId="1A5BCE6E" w14:textId="171AF740" w:rsidR="00EB3ACF" w:rsidRDefault="00EB3ACF" w:rsidP="00D06C79">
      <w:pPr>
        <w:spacing w:before="0" w:beforeAutospacing="0" w:after="0" w:line="360" w:lineRule="auto"/>
        <w:jc w:val="both"/>
        <w:rPr>
          <w:rFonts w:ascii="Gill Sans MT" w:eastAsia="Calibri" w:hAnsi="Gill Sans MT"/>
          <w:sz w:val="24"/>
          <w:szCs w:val="24"/>
          <w:lang w:eastAsia="zh-CN"/>
        </w:rPr>
      </w:pPr>
    </w:p>
    <w:p w14:paraId="008C1205" w14:textId="4A9414FD" w:rsidR="00EB3ACF" w:rsidRDefault="00EB3ACF" w:rsidP="00D06C79">
      <w:pPr>
        <w:spacing w:before="0" w:beforeAutospacing="0" w:after="0" w:line="360" w:lineRule="auto"/>
        <w:jc w:val="both"/>
        <w:rPr>
          <w:rFonts w:ascii="Gill Sans MT" w:eastAsia="Calibri" w:hAnsi="Gill Sans MT"/>
          <w:sz w:val="24"/>
          <w:szCs w:val="24"/>
          <w:lang w:eastAsia="zh-CN"/>
        </w:rPr>
      </w:pPr>
    </w:p>
    <w:p w14:paraId="2DF60637" w14:textId="08D02B24" w:rsidR="00EB3ACF" w:rsidRDefault="00EB3ACF" w:rsidP="00D06C79">
      <w:pPr>
        <w:spacing w:before="0" w:beforeAutospacing="0" w:after="0" w:line="360" w:lineRule="auto"/>
        <w:jc w:val="both"/>
        <w:rPr>
          <w:rFonts w:ascii="Gill Sans MT" w:eastAsia="Calibri" w:hAnsi="Gill Sans MT"/>
          <w:sz w:val="24"/>
          <w:szCs w:val="24"/>
          <w:lang w:eastAsia="zh-CN"/>
        </w:rPr>
      </w:pPr>
    </w:p>
    <w:p w14:paraId="3513CB7C" w14:textId="264C1750" w:rsidR="00EB3ACF" w:rsidRDefault="00EB3ACF" w:rsidP="00D06C79">
      <w:pPr>
        <w:spacing w:before="0" w:beforeAutospacing="0" w:after="0" w:line="360" w:lineRule="auto"/>
        <w:jc w:val="both"/>
        <w:rPr>
          <w:rFonts w:ascii="Gill Sans MT" w:eastAsia="Calibri" w:hAnsi="Gill Sans MT"/>
          <w:sz w:val="24"/>
          <w:szCs w:val="24"/>
          <w:lang w:eastAsia="zh-CN"/>
        </w:rPr>
      </w:pPr>
    </w:p>
    <w:p w14:paraId="502713C8" w14:textId="4D7CBB99" w:rsidR="00EB3ACF" w:rsidRDefault="00EB3ACF" w:rsidP="00D06C79">
      <w:pPr>
        <w:spacing w:before="0" w:beforeAutospacing="0" w:after="0" w:line="360" w:lineRule="auto"/>
        <w:jc w:val="both"/>
        <w:rPr>
          <w:rFonts w:ascii="Gill Sans MT" w:eastAsia="Calibri" w:hAnsi="Gill Sans MT"/>
          <w:sz w:val="24"/>
          <w:szCs w:val="24"/>
          <w:lang w:eastAsia="zh-CN"/>
        </w:rPr>
      </w:pPr>
    </w:p>
    <w:p w14:paraId="4535CAF4" w14:textId="19700345" w:rsidR="00EB3ACF" w:rsidRDefault="00EB3ACF" w:rsidP="00D06C79">
      <w:pPr>
        <w:spacing w:before="0" w:beforeAutospacing="0" w:after="0" w:line="360" w:lineRule="auto"/>
        <w:jc w:val="both"/>
        <w:rPr>
          <w:rFonts w:ascii="Gill Sans MT" w:eastAsia="Calibri" w:hAnsi="Gill Sans MT"/>
          <w:sz w:val="24"/>
          <w:szCs w:val="24"/>
          <w:lang w:eastAsia="zh-CN"/>
        </w:rPr>
      </w:pPr>
    </w:p>
    <w:p w14:paraId="793A33F9" w14:textId="736A8D31" w:rsidR="00EB3ACF" w:rsidRDefault="00EB3ACF" w:rsidP="00D06C79">
      <w:pPr>
        <w:spacing w:before="0" w:beforeAutospacing="0" w:after="0" w:line="360" w:lineRule="auto"/>
        <w:jc w:val="both"/>
        <w:rPr>
          <w:rFonts w:ascii="Gill Sans MT" w:eastAsia="Calibri" w:hAnsi="Gill Sans MT"/>
          <w:sz w:val="24"/>
          <w:szCs w:val="24"/>
          <w:lang w:eastAsia="zh-CN"/>
        </w:rPr>
      </w:pPr>
    </w:p>
    <w:p w14:paraId="59B792F3" w14:textId="77777777" w:rsidR="00EB3ACF" w:rsidRDefault="00EB3ACF" w:rsidP="00D06C79">
      <w:pPr>
        <w:spacing w:before="0" w:beforeAutospacing="0" w:after="0" w:line="360" w:lineRule="auto"/>
        <w:jc w:val="both"/>
        <w:rPr>
          <w:rFonts w:ascii="Gill Sans MT" w:eastAsia="Calibri" w:hAnsi="Gill Sans MT"/>
          <w:sz w:val="24"/>
          <w:szCs w:val="24"/>
          <w:lang w:eastAsia="zh-CN"/>
        </w:rPr>
      </w:pPr>
    </w:p>
    <w:p w14:paraId="5E483603" w14:textId="77777777" w:rsidR="00E258FD" w:rsidRDefault="001372B9">
      <w:pPr>
        <w:pStyle w:val="Heading2"/>
        <w:spacing w:before="0" w:beforeAutospacing="0" w:line="360" w:lineRule="auto"/>
        <w:jc w:val="center"/>
        <w:rPr>
          <w:rFonts w:ascii="Gill Sans MT" w:hAnsi="Gill Sans MT"/>
          <w:color w:val="0070C0"/>
          <w:lang w:eastAsia="zh-CN"/>
        </w:rPr>
      </w:pPr>
      <w:bookmarkStart w:id="2" w:name="_Toc106369880"/>
      <w:r>
        <w:rPr>
          <w:rFonts w:ascii="Gill Sans MT" w:hAnsi="Gill Sans MT"/>
          <w:color w:val="0070C0"/>
          <w:lang w:eastAsia="zh-CN"/>
        </w:rPr>
        <w:lastRenderedPageBreak/>
        <w:t>Table of Contents</w:t>
      </w:r>
      <w:bookmarkEnd w:id="2"/>
    </w:p>
    <w:p w14:paraId="134D07A1" w14:textId="77777777" w:rsidR="00E258FD" w:rsidRDefault="00E258FD">
      <w:pPr>
        <w:pStyle w:val="TOCHeading"/>
        <w:spacing w:before="0" w:line="240" w:lineRule="auto"/>
        <w:jc w:val="both"/>
        <w:rPr>
          <w:rFonts w:ascii="Gill Sans MT" w:hAnsi="Gill Sans MT"/>
          <w:sz w:val="24"/>
          <w:szCs w:val="24"/>
        </w:rPr>
      </w:pPr>
    </w:p>
    <w:p w14:paraId="0D2A6C9B"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r>
        <w:rPr>
          <w:rFonts w:ascii="Gill Sans MT" w:hAnsi="Gill Sans MT"/>
          <w:sz w:val="24"/>
          <w:szCs w:val="24"/>
        </w:rPr>
        <w:fldChar w:fldCharType="begin"/>
      </w:r>
      <w:r>
        <w:rPr>
          <w:rFonts w:ascii="Gill Sans MT" w:hAnsi="Gill Sans MT"/>
          <w:sz w:val="24"/>
          <w:szCs w:val="24"/>
        </w:rPr>
        <w:instrText xml:space="preserve"> TOC \o "1-3" \h \z \u </w:instrText>
      </w:r>
      <w:r>
        <w:rPr>
          <w:rFonts w:ascii="Gill Sans MT" w:hAnsi="Gill Sans MT"/>
          <w:sz w:val="24"/>
          <w:szCs w:val="24"/>
        </w:rPr>
        <w:fldChar w:fldCharType="separate"/>
      </w:r>
      <w:hyperlink w:anchor="_Toc106369878" w:history="1">
        <w:r>
          <w:rPr>
            <w:rStyle w:val="Hyperlink"/>
            <w:rFonts w:ascii="Gill Sans MT" w:hAnsi="Gill Sans MT"/>
            <w:noProof/>
            <w:sz w:val="24"/>
            <w:szCs w:val="24"/>
            <w:lang w:eastAsia="zh-CN"/>
          </w:rPr>
          <w:t>Executive Summary</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_Toc106369878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ii</w:t>
        </w:r>
        <w:r>
          <w:rPr>
            <w:rFonts w:ascii="Gill Sans MT" w:hAnsi="Gill Sans MT"/>
            <w:noProof/>
            <w:webHidden/>
            <w:sz w:val="24"/>
            <w:szCs w:val="24"/>
          </w:rPr>
          <w:fldChar w:fldCharType="end"/>
        </w:r>
      </w:hyperlink>
    </w:p>
    <w:p w14:paraId="2F9523DE"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79" w:history="1">
        <w:r>
          <w:rPr>
            <w:rStyle w:val="Hyperlink"/>
            <w:rFonts w:ascii="Gill Sans MT" w:hAnsi="Gill Sans MT"/>
            <w:noProof/>
            <w:sz w:val="24"/>
            <w:szCs w:val="24"/>
            <w:lang w:eastAsia="zh-CN"/>
          </w:rPr>
          <w:t>Acknowledgement</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_Toc106369879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v</w:t>
        </w:r>
        <w:r>
          <w:rPr>
            <w:rFonts w:ascii="Gill Sans MT" w:hAnsi="Gill Sans MT"/>
            <w:noProof/>
            <w:webHidden/>
            <w:sz w:val="24"/>
            <w:szCs w:val="24"/>
          </w:rPr>
          <w:fldChar w:fldCharType="end"/>
        </w:r>
      </w:hyperlink>
    </w:p>
    <w:p w14:paraId="078DBFE9"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0" w:history="1">
        <w:r>
          <w:rPr>
            <w:rStyle w:val="Hyperlink"/>
            <w:rFonts w:ascii="Gill Sans MT" w:hAnsi="Gill Sans MT"/>
            <w:noProof/>
            <w:sz w:val="24"/>
            <w:szCs w:val="24"/>
            <w:lang w:eastAsia="zh-CN"/>
          </w:rPr>
          <w:t>Table of Conte</w:t>
        </w:r>
        <w:r>
          <w:rPr>
            <w:rStyle w:val="Hyperlink"/>
            <w:rFonts w:ascii="Gill Sans MT" w:hAnsi="Gill Sans MT"/>
            <w:noProof/>
            <w:sz w:val="24"/>
            <w:szCs w:val="24"/>
            <w:lang w:eastAsia="zh-CN"/>
          </w:rPr>
          <w:t>nts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vi</w:t>
        </w:r>
        <w:r>
          <w:rPr>
            <w:rFonts w:ascii="Gill Sans MT" w:hAnsi="Gill Sans MT"/>
            <w:noProof/>
            <w:webHidden/>
            <w:sz w:val="24"/>
            <w:szCs w:val="24"/>
          </w:rPr>
          <w:fldChar w:fldCharType="end"/>
        </w:r>
      </w:hyperlink>
    </w:p>
    <w:p w14:paraId="64081353"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1" w:history="1">
        <w:r>
          <w:rPr>
            <w:rStyle w:val="Hyperlink"/>
            <w:rFonts w:ascii="Gill Sans MT" w:hAnsi="Gill Sans MT"/>
            <w:noProof/>
            <w:sz w:val="24"/>
            <w:szCs w:val="24"/>
            <w:lang w:eastAsia="zh-CN"/>
          </w:rPr>
          <w:t>List of Acronyms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vii</w:t>
        </w:r>
        <w:r>
          <w:rPr>
            <w:rFonts w:ascii="Gill Sans MT" w:hAnsi="Gill Sans MT"/>
            <w:noProof/>
            <w:webHidden/>
            <w:sz w:val="24"/>
            <w:szCs w:val="24"/>
          </w:rPr>
          <w:fldChar w:fldCharType="end"/>
        </w:r>
      </w:hyperlink>
    </w:p>
    <w:p w14:paraId="24DA5482"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2" w:history="1">
        <w:r>
          <w:rPr>
            <w:rStyle w:val="Hyperlink"/>
            <w:rFonts w:ascii="Gill Sans MT" w:hAnsi="Gill Sans MT"/>
            <w:noProof/>
            <w:sz w:val="24"/>
            <w:szCs w:val="24"/>
            <w:lang w:eastAsia="zh-CN"/>
          </w:rPr>
          <w:t>List of figures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ix</w:t>
        </w:r>
        <w:r>
          <w:rPr>
            <w:rFonts w:ascii="Gill Sans MT" w:hAnsi="Gill Sans MT"/>
            <w:noProof/>
            <w:webHidden/>
            <w:sz w:val="24"/>
            <w:szCs w:val="24"/>
          </w:rPr>
          <w:fldChar w:fldCharType="end"/>
        </w:r>
      </w:hyperlink>
    </w:p>
    <w:p w14:paraId="66E8D4A5"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3" w:history="1">
        <w:r>
          <w:rPr>
            <w:rStyle w:val="Hyperlink"/>
            <w:rFonts w:ascii="Gill Sans MT" w:hAnsi="Gill Sans MT"/>
            <w:noProof/>
            <w:sz w:val="24"/>
            <w:szCs w:val="24"/>
            <w:lang w:eastAsia="zh-CN"/>
          </w:rPr>
          <w:t>List of tables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x</w:t>
        </w:r>
        <w:r>
          <w:rPr>
            <w:rFonts w:ascii="Gill Sans MT" w:hAnsi="Gill Sans MT"/>
            <w:noProof/>
            <w:webHidden/>
            <w:sz w:val="24"/>
            <w:szCs w:val="24"/>
          </w:rPr>
          <w:fldChar w:fldCharType="end"/>
        </w:r>
      </w:hyperlink>
    </w:p>
    <w:p w14:paraId="0D329A7B"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884" w:history="1">
        <w:r>
          <w:rPr>
            <w:rStyle w:val="Hyperlink"/>
            <w:rFonts w:ascii="Gill Sans MT" w:hAnsi="Gill Sans MT"/>
            <w:b/>
            <w:noProof/>
            <w:sz w:val="24"/>
            <w:szCs w:val="24"/>
          </w:rPr>
          <w:t>CHAPTER ONE</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_Toc106369884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1</w:t>
        </w:r>
        <w:r>
          <w:rPr>
            <w:rFonts w:ascii="Gill Sans MT" w:hAnsi="Gill Sans MT"/>
            <w:b/>
            <w:noProof/>
            <w:webHidden/>
            <w:sz w:val="24"/>
            <w:szCs w:val="24"/>
          </w:rPr>
          <w:fldChar w:fldCharType="end"/>
        </w:r>
      </w:hyperlink>
    </w:p>
    <w:p w14:paraId="695D20AC"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885" w:history="1">
        <w:r>
          <w:rPr>
            <w:rStyle w:val="Hyperlink"/>
            <w:rFonts w:ascii="Gill Sans MT" w:hAnsi="Gill Sans MT"/>
            <w:b/>
            <w:noProof/>
            <w:sz w:val="24"/>
            <w:szCs w:val="24"/>
          </w:rPr>
          <w:t>CONTEXT OF INFORMAL SETTLEMENT UPGRADING &amp; PLANNING IN KENYA</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_Toc106369885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1</w:t>
        </w:r>
        <w:r>
          <w:rPr>
            <w:rFonts w:ascii="Gill Sans MT" w:hAnsi="Gill Sans MT"/>
            <w:b/>
            <w:noProof/>
            <w:webHidden/>
            <w:sz w:val="24"/>
            <w:szCs w:val="24"/>
          </w:rPr>
          <w:fldChar w:fldCharType="end"/>
        </w:r>
      </w:hyperlink>
    </w:p>
    <w:p w14:paraId="34BB44F8"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6" w:history="1">
        <w:r>
          <w:rPr>
            <w:rStyle w:val="Hyperlink"/>
            <w:rFonts w:ascii="Gill Sans MT" w:hAnsi="Gill Sans MT"/>
            <w:noProof/>
            <w:sz w:val="24"/>
            <w:szCs w:val="24"/>
          </w:rPr>
          <w:t>1.1 Kenya Urbanization Context: Rural-Urban migration and urbanization trends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_Toc106369886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w:t>
        </w:r>
        <w:r>
          <w:rPr>
            <w:rFonts w:ascii="Gill Sans MT" w:hAnsi="Gill Sans MT"/>
            <w:noProof/>
            <w:webHidden/>
            <w:sz w:val="24"/>
            <w:szCs w:val="24"/>
          </w:rPr>
          <w:fldChar w:fldCharType="end"/>
        </w:r>
      </w:hyperlink>
    </w:p>
    <w:p w14:paraId="0F51B9CF"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87" w:history="1">
        <w:r>
          <w:rPr>
            <w:rStyle w:val="Hyperlink"/>
            <w:rFonts w:ascii="Gill Sans MT" w:hAnsi="Gill Sans MT"/>
            <w:noProof/>
            <w:sz w:val="24"/>
            <w:szCs w:val="24"/>
          </w:rPr>
          <w:t>1.2 The quest for an inclusive City/Town</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_Toc106369887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w:t>
        </w:r>
        <w:r>
          <w:rPr>
            <w:rFonts w:ascii="Gill Sans MT" w:hAnsi="Gill Sans MT"/>
            <w:noProof/>
            <w:webHidden/>
            <w:sz w:val="24"/>
            <w:szCs w:val="24"/>
          </w:rPr>
          <w:fldChar w:fldCharType="end"/>
        </w:r>
      </w:hyperlink>
    </w:p>
    <w:p w14:paraId="4D51FA43"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888" w:history="1">
        <w:r>
          <w:rPr>
            <w:rStyle w:val="Hyperlink"/>
            <w:rFonts w:ascii="Gill Sans MT" w:hAnsi="Gill Sans MT"/>
            <w:i/>
            <w:noProof/>
            <w:color w:val="034990"/>
            <w:sz w:val="24"/>
            <w:szCs w:val="24"/>
            <w:lang w:eastAsia="zh-CN"/>
          </w:rPr>
          <w:t>1.2.1 Time period of 1963 - 1996</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_Toc106369888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w:t>
        </w:r>
        <w:r>
          <w:rPr>
            <w:rFonts w:ascii="Gill Sans MT" w:hAnsi="Gill Sans MT"/>
            <w:noProof/>
            <w:webHidden/>
            <w:sz w:val="24"/>
            <w:szCs w:val="24"/>
          </w:rPr>
          <w:fldChar w:fldCharType="end"/>
        </w:r>
      </w:hyperlink>
    </w:p>
    <w:p w14:paraId="5CFAC1CB"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889" w:history="1">
        <w:r>
          <w:rPr>
            <w:rStyle w:val="Hyperlink"/>
            <w:rFonts w:ascii="Gill Sans MT" w:hAnsi="Gill Sans MT"/>
            <w:i/>
            <w:noProof/>
            <w:color w:val="034990"/>
            <w:sz w:val="24"/>
            <w:szCs w:val="24"/>
            <w:lang w:eastAsia="zh-CN"/>
          </w:rPr>
          <w:t>1.2.2 Time period of 1996 - 2002</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_Toc106369889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w:t>
        </w:r>
        <w:r>
          <w:rPr>
            <w:rFonts w:ascii="Gill Sans MT" w:hAnsi="Gill Sans MT"/>
            <w:noProof/>
            <w:webHidden/>
            <w:sz w:val="24"/>
            <w:szCs w:val="24"/>
          </w:rPr>
          <w:fldChar w:fldCharType="end"/>
        </w:r>
      </w:hyperlink>
    </w:p>
    <w:p w14:paraId="1AE96057"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890" w:history="1">
        <w:r>
          <w:rPr>
            <w:rStyle w:val="Hyperlink"/>
            <w:rFonts w:ascii="Gill Sans MT" w:hAnsi="Gill Sans MT"/>
            <w:i/>
            <w:noProof/>
            <w:color w:val="034990"/>
            <w:sz w:val="24"/>
            <w:szCs w:val="24"/>
            <w:lang w:eastAsia="zh-CN"/>
          </w:rPr>
          <w:t>1.2.3 Time period of 2000 - 2006</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5</w:t>
        </w:r>
        <w:r>
          <w:rPr>
            <w:rFonts w:ascii="Gill Sans MT" w:hAnsi="Gill Sans MT"/>
            <w:noProof/>
            <w:webHidden/>
            <w:sz w:val="24"/>
            <w:szCs w:val="24"/>
          </w:rPr>
          <w:fldChar w:fldCharType="end"/>
        </w:r>
      </w:hyperlink>
    </w:p>
    <w:p w14:paraId="0621AA0C"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891" w:history="1">
        <w:r>
          <w:rPr>
            <w:rStyle w:val="Hyperlink"/>
            <w:rFonts w:ascii="Gill Sans MT" w:hAnsi="Gill Sans MT"/>
            <w:i/>
            <w:noProof/>
            <w:color w:val="034990"/>
            <w:sz w:val="24"/>
            <w:szCs w:val="24"/>
            <w:lang w:eastAsia="zh-CN"/>
          </w:rPr>
          <w:t>1.2.4 Time period of 2005 – 2006</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6</w:t>
        </w:r>
        <w:r>
          <w:rPr>
            <w:rFonts w:ascii="Gill Sans MT" w:hAnsi="Gill Sans MT"/>
            <w:noProof/>
            <w:webHidden/>
            <w:sz w:val="24"/>
            <w:szCs w:val="24"/>
          </w:rPr>
          <w:fldChar w:fldCharType="end"/>
        </w:r>
      </w:hyperlink>
    </w:p>
    <w:p w14:paraId="548549ED"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892" w:history="1">
        <w:r>
          <w:rPr>
            <w:rStyle w:val="Hyperlink"/>
            <w:rFonts w:ascii="Gill Sans MT" w:hAnsi="Gill Sans MT"/>
            <w:i/>
            <w:noProof/>
            <w:color w:val="034990"/>
            <w:sz w:val="24"/>
            <w:szCs w:val="24"/>
            <w:lang w:eastAsia="zh-CN"/>
          </w:rPr>
          <w:t>1.2.5 Time period of 2009 - 2022</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7</w:t>
        </w:r>
        <w:r>
          <w:rPr>
            <w:rFonts w:ascii="Gill Sans MT" w:hAnsi="Gill Sans MT"/>
            <w:noProof/>
            <w:webHidden/>
            <w:sz w:val="24"/>
            <w:szCs w:val="24"/>
          </w:rPr>
          <w:fldChar w:fldCharType="end"/>
        </w:r>
      </w:hyperlink>
    </w:p>
    <w:p w14:paraId="1871F273"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93" w:history="1">
        <w:r>
          <w:rPr>
            <w:rStyle w:val="Hyperlink"/>
            <w:rFonts w:ascii="Gill Sans MT" w:hAnsi="Gill Sans MT"/>
            <w:noProof/>
            <w:sz w:val="24"/>
            <w:szCs w:val="24"/>
          </w:rPr>
          <w:t>1.3 Overview of Upgrading Interventions (why, where and what are they)</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9</w:t>
        </w:r>
        <w:r>
          <w:rPr>
            <w:rFonts w:ascii="Gill Sans MT" w:hAnsi="Gill Sans MT"/>
            <w:noProof/>
            <w:webHidden/>
            <w:sz w:val="24"/>
            <w:szCs w:val="24"/>
          </w:rPr>
          <w:fldChar w:fldCharType="end"/>
        </w:r>
      </w:hyperlink>
    </w:p>
    <w:p w14:paraId="666EE816"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94" w:history="1">
        <w:r>
          <w:rPr>
            <w:rStyle w:val="Hyperlink"/>
            <w:rFonts w:ascii="Gill Sans MT" w:hAnsi="Gill Sans MT"/>
            <w:noProof/>
            <w:sz w:val="24"/>
            <w:szCs w:val="24"/>
          </w:rPr>
          <w:t>1.4 Some Examples (Status, practices, obstacles)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_Toc106369894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11</w:t>
        </w:r>
        <w:r>
          <w:rPr>
            <w:rFonts w:ascii="Gill Sans MT" w:hAnsi="Gill Sans MT"/>
            <w:noProof/>
            <w:webHidden/>
            <w:sz w:val="24"/>
            <w:szCs w:val="24"/>
          </w:rPr>
          <w:fldChar w:fldCharType="end"/>
        </w:r>
      </w:hyperlink>
    </w:p>
    <w:p w14:paraId="47CA8AAE"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95" w:history="1">
        <w:r>
          <w:rPr>
            <w:rStyle w:val="Hyperlink"/>
            <w:rFonts w:ascii="Gill Sans MT" w:hAnsi="Gill Sans MT"/>
            <w:noProof/>
            <w:sz w:val="24"/>
            <w:szCs w:val="24"/>
          </w:rPr>
          <w:t>1.5 Evolving Policy and Regulatory f</w:t>
        </w:r>
        <w:r>
          <w:rPr>
            <w:rStyle w:val="Hyperlink"/>
            <w:rFonts w:ascii="Gill Sans MT" w:hAnsi="Gill Sans MT"/>
            <w:noProof/>
            <w:sz w:val="24"/>
            <w:szCs w:val="24"/>
          </w:rPr>
          <w:t>rameworks for informal settlement upgrading and prevention</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_Toc106369895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12</w:t>
        </w:r>
        <w:r>
          <w:rPr>
            <w:rFonts w:ascii="Gill Sans MT" w:hAnsi="Gill Sans MT"/>
            <w:noProof/>
            <w:webHidden/>
            <w:sz w:val="24"/>
            <w:szCs w:val="24"/>
          </w:rPr>
          <w:fldChar w:fldCharType="end"/>
        </w:r>
      </w:hyperlink>
    </w:p>
    <w:p w14:paraId="40370443" w14:textId="77777777" w:rsidR="00E258FD" w:rsidRDefault="00E258FD">
      <w:pPr>
        <w:pStyle w:val="TOC1"/>
        <w:tabs>
          <w:tab w:val="right" w:leader="dot" w:pos="9350"/>
        </w:tabs>
        <w:spacing w:before="0" w:beforeAutospacing="0" w:line="240" w:lineRule="auto"/>
        <w:jc w:val="both"/>
        <w:rPr>
          <w:rStyle w:val="Hyperlink"/>
          <w:rFonts w:ascii="Gill Sans MT" w:hAnsi="Gill Sans MT"/>
          <w:b/>
          <w:noProof/>
          <w:sz w:val="24"/>
          <w:szCs w:val="24"/>
        </w:rPr>
      </w:pPr>
    </w:p>
    <w:p w14:paraId="19AB4A05"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896" w:history="1">
        <w:r>
          <w:rPr>
            <w:rStyle w:val="Hyperlink"/>
            <w:rFonts w:ascii="Gill Sans MT" w:hAnsi="Gill Sans MT"/>
            <w:b/>
            <w:noProof/>
            <w:sz w:val="24"/>
            <w:szCs w:val="24"/>
          </w:rPr>
          <w:t>CHAPTER TWO</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_Toc106369896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16</w:t>
        </w:r>
        <w:r>
          <w:rPr>
            <w:rFonts w:ascii="Gill Sans MT" w:hAnsi="Gill Sans MT"/>
            <w:b/>
            <w:noProof/>
            <w:webHidden/>
            <w:sz w:val="24"/>
            <w:szCs w:val="24"/>
          </w:rPr>
          <w:fldChar w:fldCharType="end"/>
        </w:r>
      </w:hyperlink>
    </w:p>
    <w:p w14:paraId="5B4366D3"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897" w:history="1">
        <w:r>
          <w:rPr>
            <w:rStyle w:val="Hyperlink"/>
            <w:rFonts w:ascii="Gill Sans MT" w:hAnsi="Gill Sans MT"/>
            <w:b/>
            <w:noProof/>
            <w:sz w:val="24"/>
            <w:szCs w:val="24"/>
          </w:rPr>
          <w:t>UPGRADING PROGRA</w:t>
        </w:r>
        <w:r>
          <w:rPr>
            <w:rStyle w:val="Hyperlink"/>
            <w:rFonts w:ascii="Gill Sans MT" w:hAnsi="Gill Sans MT"/>
            <w:b/>
            <w:noProof/>
            <w:sz w:val="24"/>
            <w:szCs w:val="24"/>
          </w:rPr>
          <w:t>MMES AND INITIATIVES</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_Toc106369897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16</w:t>
        </w:r>
        <w:r>
          <w:rPr>
            <w:rFonts w:ascii="Gill Sans MT" w:hAnsi="Gill Sans MT"/>
            <w:b/>
            <w:noProof/>
            <w:webHidden/>
            <w:sz w:val="24"/>
            <w:szCs w:val="24"/>
          </w:rPr>
          <w:fldChar w:fldCharType="end"/>
        </w:r>
      </w:hyperlink>
    </w:p>
    <w:p w14:paraId="43CC91A8"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898" w:history="1">
        <w:r>
          <w:rPr>
            <w:rStyle w:val="Hyperlink"/>
            <w:rFonts w:ascii="Gill Sans MT" w:hAnsi="Gill Sans MT"/>
            <w:b/>
            <w:noProof/>
            <w:sz w:val="24"/>
            <w:szCs w:val="24"/>
          </w:rPr>
          <w:t>(KENSUP &amp; KISIP, KUSP)</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_Toc106369898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16</w:t>
        </w:r>
        <w:r>
          <w:rPr>
            <w:rFonts w:ascii="Gill Sans MT" w:hAnsi="Gill Sans MT"/>
            <w:b/>
            <w:noProof/>
            <w:webHidden/>
            <w:sz w:val="24"/>
            <w:szCs w:val="24"/>
          </w:rPr>
          <w:fldChar w:fldCharType="end"/>
        </w:r>
      </w:hyperlink>
    </w:p>
    <w:p w14:paraId="19FCAE2E"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899" w:history="1">
        <w:r>
          <w:rPr>
            <w:rStyle w:val="Hyperlink"/>
            <w:rFonts w:ascii="Gill Sans MT" w:hAnsi="Gill Sans MT"/>
            <w:noProof/>
            <w:sz w:val="24"/>
            <w:szCs w:val="24"/>
          </w:rPr>
          <w:t>2.1 Brief overview of KISIP and KENSUP</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_Toc106369899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16</w:t>
        </w:r>
        <w:r>
          <w:rPr>
            <w:rFonts w:ascii="Gill Sans MT" w:hAnsi="Gill Sans MT"/>
            <w:noProof/>
            <w:webHidden/>
            <w:sz w:val="24"/>
            <w:szCs w:val="24"/>
          </w:rPr>
          <w:fldChar w:fldCharType="end"/>
        </w:r>
      </w:hyperlink>
    </w:p>
    <w:p w14:paraId="0DB2CD84"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00" w:history="1">
        <w:r>
          <w:rPr>
            <w:rStyle w:val="Hyperlink"/>
            <w:rFonts w:ascii="Gill Sans MT" w:hAnsi="Gill Sans MT"/>
            <w:noProof/>
            <w:sz w:val="24"/>
            <w:szCs w:val="24"/>
          </w:rPr>
          <w:t>2.2 Key KENSUP/KISIP Projects in Select Towns and Cities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18</w:t>
        </w:r>
        <w:r>
          <w:rPr>
            <w:rFonts w:ascii="Gill Sans MT" w:hAnsi="Gill Sans MT"/>
            <w:noProof/>
            <w:webHidden/>
            <w:sz w:val="24"/>
            <w:szCs w:val="24"/>
          </w:rPr>
          <w:fldChar w:fldCharType="end"/>
        </w:r>
      </w:hyperlink>
    </w:p>
    <w:p w14:paraId="1F82FA47"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1" w:history="1">
        <w:r>
          <w:rPr>
            <w:rStyle w:val="Hyperlink"/>
            <w:rFonts w:ascii="Gill Sans MT" w:hAnsi="Gill Sans MT"/>
            <w:i/>
            <w:noProof/>
            <w:color w:val="034990"/>
            <w:sz w:val="24"/>
            <w:szCs w:val="24"/>
          </w:rPr>
          <w:t>2.2.1 Kibera Integrated Water, Sanitation And Waste Manageme</w:t>
        </w:r>
        <w:r>
          <w:rPr>
            <w:rStyle w:val="Hyperlink"/>
            <w:rFonts w:ascii="Gill Sans MT" w:hAnsi="Gill Sans MT"/>
            <w:i/>
            <w:noProof/>
            <w:color w:val="034990"/>
            <w:sz w:val="24"/>
            <w:szCs w:val="24"/>
          </w:rPr>
          <w:t>nt Project, Nairobi</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18</w:t>
        </w:r>
        <w:r>
          <w:rPr>
            <w:rFonts w:ascii="Gill Sans MT" w:hAnsi="Gill Sans MT"/>
            <w:noProof/>
            <w:webHidden/>
            <w:sz w:val="24"/>
            <w:szCs w:val="24"/>
          </w:rPr>
          <w:fldChar w:fldCharType="end"/>
        </w:r>
      </w:hyperlink>
    </w:p>
    <w:p w14:paraId="7EC8278B"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2" w:history="1">
        <w:r>
          <w:rPr>
            <w:rStyle w:val="Hyperlink"/>
            <w:rFonts w:ascii="Gill Sans MT" w:hAnsi="Gill Sans MT"/>
            <w:i/>
            <w:noProof/>
            <w:color w:val="034990"/>
            <w:sz w:val="24"/>
            <w:szCs w:val="24"/>
          </w:rPr>
          <w:t>2.2.2 Sustainable Neighbourhood Programme, Mavoko</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19</w:t>
        </w:r>
        <w:r>
          <w:rPr>
            <w:rFonts w:ascii="Gill Sans MT" w:hAnsi="Gill Sans MT"/>
            <w:noProof/>
            <w:webHidden/>
            <w:sz w:val="24"/>
            <w:szCs w:val="24"/>
          </w:rPr>
          <w:fldChar w:fldCharType="end"/>
        </w:r>
      </w:hyperlink>
    </w:p>
    <w:p w14:paraId="5FA1F0B6"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3" w:history="1">
        <w:r>
          <w:rPr>
            <w:rStyle w:val="Hyperlink"/>
            <w:rFonts w:ascii="Gill Sans MT" w:hAnsi="Gill Sans MT"/>
            <w:i/>
            <w:noProof/>
            <w:color w:val="034990"/>
            <w:sz w:val="24"/>
            <w:szCs w:val="24"/>
          </w:rPr>
          <w:t>2.2.3 Provision Of Basic Services In Selected Slum Settlements In Kahawa Soweto, Nairobi</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21</w:t>
        </w:r>
        <w:r>
          <w:rPr>
            <w:rFonts w:ascii="Gill Sans MT" w:hAnsi="Gill Sans MT"/>
            <w:noProof/>
            <w:webHidden/>
            <w:sz w:val="24"/>
            <w:szCs w:val="24"/>
          </w:rPr>
          <w:fldChar w:fldCharType="end"/>
        </w:r>
      </w:hyperlink>
    </w:p>
    <w:p w14:paraId="629C61A3"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4" w:history="1">
        <w:r>
          <w:rPr>
            <w:rStyle w:val="Hyperlink"/>
            <w:rFonts w:ascii="Gill Sans MT" w:hAnsi="Gill Sans MT"/>
            <w:i/>
            <w:noProof/>
            <w:color w:val="034990"/>
            <w:sz w:val="24"/>
            <w:szCs w:val="24"/>
          </w:rPr>
          <w:t>2.2.4 Mombasa Sl</w:t>
        </w:r>
        <w:r>
          <w:rPr>
            <w:rStyle w:val="Hyperlink"/>
            <w:rFonts w:ascii="Gill Sans MT" w:hAnsi="Gill Sans MT"/>
            <w:i/>
            <w:noProof/>
            <w:color w:val="034990"/>
            <w:sz w:val="24"/>
            <w:szCs w:val="24"/>
          </w:rPr>
          <w:t>um Upgrading Programme</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_Toc106369904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22</w:t>
        </w:r>
        <w:r>
          <w:rPr>
            <w:rFonts w:ascii="Gill Sans MT" w:hAnsi="Gill Sans MT"/>
            <w:noProof/>
            <w:webHidden/>
            <w:sz w:val="24"/>
            <w:szCs w:val="24"/>
          </w:rPr>
          <w:fldChar w:fldCharType="end"/>
        </w:r>
      </w:hyperlink>
    </w:p>
    <w:p w14:paraId="245A9D28"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5" w:history="1">
        <w:r>
          <w:rPr>
            <w:rStyle w:val="Hyperlink"/>
            <w:rFonts w:ascii="Gill Sans MT" w:hAnsi="Gill Sans MT"/>
            <w:i/>
            <w:noProof/>
            <w:color w:val="034990"/>
            <w:sz w:val="24"/>
            <w:szCs w:val="24"/>
          </w:rPr>
          <w:t>2.2.5 Cities without slums, Kisumu</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_Toc106369905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22</w:t>
        </w:r>
        <w:r>
          <w:rPr>
            <w:rFonts w:ascii="Gill Sans MT" w:hAnsi="Gill Sans MT"/>
            <w:noProof/>
            <w:webHidden/>
            <w:sz w:val="24"/>
            <w:szCs w:val="24"/>
          </w:rPr>
          <w:fldChar w:fldCharType="end"/>
        </w:r>
      </w:hyperlink>
    </w:p>
    <w:p w14:paraId="434BD36F"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06" w:history="1">
        <w:r>
          <w:rPr>
            <w:rStyle w:val="Hyperlink"/>
            <w:rFonts w:ascii="Gill Sans MT" w:hAnsi="Gill Sans MT"/>
            <w:i/>
            <w:noProof/>
            <w:color w:val="034990"/>
            <w:sz w:val="24"/>
            <w:szCs w:val="24"/>
          </w:rPr>
          <w:t>2.2.6 Vision 2030 Flagship Programmes With A Bearing On Slum Upgrading</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_Toc106369906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24</w:t>
        </w:r>
        <w:r>
          <w:rPr>
            <w:rFonts w:ascii="Gill Sans MT" w:hAnsi="Gill Sans MT"/>
            <w:noProof/>
            <w:webHidden/>
            <w:sz w:val="24"/>
            <w:szCs w:val="24"/>
          </w:rPr>
          <w:fldChar w:fldCharType="end"/>
        </w:r>
      </w:hyperlink>
    </w:p>
    <w:p w14:paraId="4EFB233D" w14:textId="77777777" w:rsidR="00E258FD" w:rsidRDefault="00E258FD">
      <w:pPr>
        <w:pStyle w:val="TOC1"/>
        <w:tabs>
          <w:tab w:val="right" w:leader="dot" w:pos="9350"/>
        </w:tabs>
        <w:spacing w:before="0" w:beforeAutospacing="0" w:line="240" w:lineRule="auto"/>
        <w:jc w:val="both"/>
        <w:rPr>
          <w:rStyle w:val="Hyperlink"/>
          <w:rFonts w:ascii="Gill Sans MT" w:hAnsi="Gill Sans MT"/>
          <w:noProof/>
          <w:sz w:val="24"/>
          <w:szCs w:val="24"/>
        </w:rPr>
      </w:pPr>
    </w:p>
    <w:p w14:paraId="1383B3CE"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07" w:history="1">
        <w:r>
          <w:rPr>
            <w:rStyle w:val="Hyperlink"/>
            <w:rFonts w:ascii="Gill Sans MT" w:hAnsi="Gill Sans MT"/>
            <w:b/>
            <w:noProof/>
            <w:sz w:val="24"/>
            <w:szCs w:val="24"/>
          </w:rPr>
          <w:t>CHAPTER THREE</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_Toc106369907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25</w:t>
        </w:r>
        <w:r>
          <w:rPr>
            <w:rFonts w:ascii="Gill Sans MT" w:hAnsi="Gill Sans MT"/>
            <w:b/>
            <w:noProof/>
            <w:webHidden/>
            <w:sz w:val="24"/>
            <w:szCs w:val="24"/>
          </w:rPr>
          <w:fldChar w:fldCharType="end"/>
        </w:r>
      </w:hyperlink>
    </w:p>
    <w:p w14:paraId="3E9594BE"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08" w:history="1">
        <w:r>
          <w:rPr>
            <w:rStyle w:val="Hyperlink"/>
            <w:rFonts w:ascii="Gill Sans MT" w:hAnsi="Gill Sans MT"/>
            <w:b/>
            <w:noProof/>
            <w:sz w:val="24"/>
            <w:szCs w:val="24"/>
          </w:rPr>
          <w:t>CAPACITY BUILDING: CONFRONTING PRACTICAL UPGRADING CHALLENGES, POLICY BOTTLENECKS &amp; MODELS OF DELIVERY</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_Toc106369908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25</w:t>
        </w:r>
        <w:r>
          <w:rPr>
            <w:rFonts w:ascii="Gill Sans MT" w:hAnsi="Gill Sans MT"/>
            <w:b/>
            <w:noProof/>
            <w:webHidden/>
            <w:sz w:val="24"/>
            <w:szCs w:val="24"/>
          </w:rPr>
          <w:fldChar w:fldCharType="end"/>
        </w:r>
      </w:hyperlink>
    </w:p>
    <w:p w14:paraId="0B780BA0"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09" w:history="1">
        <w:r>
          <w:rPr>
            <w:rStyle w:val="Hyperlink"/>
            <w:rFonts w:ascii="Gill Sans MT" w:hAnsi="Gill Sans MT"/>
            <w:noProof/>
            <w:sz w:val="24"/>
            <w:szCs w:val="24"/>
          </w:rPr>
          <w:t>3.1 Overview of the slum upgrading scenario in Kenya</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_Toc106369909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25</w:t>
        </w:r>
        <w:r>
          <w:rPr>
            <w:rFonts w:ascii="Gill Sans MT" w:hAnsi="Gill Sans MT"/>
            <w:noProof/>
            <w:webHidden/>
            <w:sz w:val="24"/>
            <w:szCs w:val="24"/>
          </w:rPr>
          <w:fldChar w:fldCharType="end"/>
        </w:r>
      </w:hyperlink>
    </w:p>
    <w:p w14:paraId="1762C15C"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10" w:history="1">
        <w:r>
          <w:rPr>
            <w:rStyle w:val="Hyperlink"/>
            <w:rFonts w:ascii="Gill Sans MT" w:hAnsi="Gill Sans MT"/>
            <w:noProof/>
            <w:sz w:val="24"/>
            <w:szCs w:val="24"/>
          </w:rPr>
          <w:t>3.2 Understanding the Challenges of Upgrading</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27</w:t>
        </w:r>
        <w:r>
          <w:rPr>
            <w:rFonts w:ascii="Gill Sans MT" w:hAnsi="Gill Sans MT"/>
            <w:noProof/>
            <w:webHidden/>
            <w:sz w:val="24"/>
            <w:szCs w:val="24"/>
          </w:rPr>
          <w:fldChar w:fldCharType="end"/>
        </w:r>
      </w:hyperlink>
    </w:p>
    <w:p w14:paraId="42A09DCB"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11" w:history="1">
        <w:r>
          <w:rPr>
            <w:rStyle w:val="Hyperlink"/>
            <w:rFonts w:ascii="Gill Sans MT" w:hAnsi="Gill Sans MT"/>
            <w:noProof/>
            <w:sz w:val="24"/>
            <w:szCs w:val="24"/>
          </w:rPr>
          <w:t>3.3 Lack of appropriately implemented Policy and I</w:t>
        </w:r>
        <w:r>
          <w:rPr>
            <w:rStyle w:val="Hyperlink"/>
            <w:rFonts w:ascii="Gill Sans MT" w:hAnsi="Gill Sans MT"/>
            <w:noProof/>
            <w:sz w:val="24"/>
            <w:szCs w:val="24"/>
          </w:rPr>
          <w:t>nstitutional frameworks (National/County; MTEF and Budget)</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28</w:t>
        </w:r>
        <w:r>
          <w:rPr>
            <w:rFonts w:ascii="Gill Sans MT" w:hAnsi="Gill Sans MT"/>
            <w:noProof/>
            <w:webHidden/>
            <w:sz w:val="24"/>
            <w:szCs w:val="24"/>
          </w:rPr>
          <w:fldChar w:fldCharType="end"/>
        </w:r>
      </w:hyperlink>
    </w:p>
    <w:p w14:paraId="26D25781"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12" w:history="1">
        <w:r>
          <w:rPr>
            <w:rStyle w:val="Hyperlink"/>
            <w:rFonts w:ascii="Gill Sans MT" w:hAnsi="Gill Sans MT"/>
            <w:noProof/>
            <w:sz w:val="24"/>
            <w:szCs w:val="24"/>
          </w:rPr>
          <w:t>3.4 Community-Government Efforts in Co-ownership and Co-production i</w:t>
        </w:r>
        <w:r>
          <w:rPr>
            <w:rStyle w:val="Hyperlink"/>
            <w:rFonts w:ascii="Gill Sans MT" w:hAnsi="Gill Sans MT"/>
            <w:noProof/>
            <w:sz w:val="24"/>
            <w:szCs w:val="24"/>
          </w:rPr>
          <w:t>n Slum Upgrading Initiatives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31</w:t>
        </w:r>
        <w:r>
          <w:rPr>
            <w:rFonts w:ascii="Gill Sans MT" w:hAnsi="Gill Sans MT"/>
            <w:noProof/>
            <w:webHidden/>
            <w:sz w:val="24"/>
            <w:szCs w:val="24"/>
          </w:rPr>
          <w:fldChar w:fldCharType="end"/>
        </w:r>
      </w:hyperlink>
    </w:p>
    <w:p w14:paraId="6E73B2C6"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13" w:history="1">
        <w:r>
          <w:rPr>
            <w:rStyle w:val="Hyperlink"/>
            <w:rFonts w:ascii="Gill Sans MT" w:hAnsi="Gill Sans MT"/>
            <w:i/>
            <w:noProof/>
            <w:color w:val="034990"/>
            <w:sz w:val="24"/>
            <w:szCs w:val="24"/>
          </w:rPr>
          <w:t>3.4.1 Communities And Resource Mobilization</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31</w:t>
        </w:r>
        <w:r>
          <w:rPr>
            <w:rFonts w:ascii="Gill Sans MT" w:hAnsi="Gill Sans MT"/>
            <w:noProof/>
            <w:webHidden/>
            <w:sz w:val="24"/>
            <w:szCs w:val="24"/>
          </w:rPr>
          <w:fldChar w:fldCharType="end"/>
        </w:r>
      </w:hyperlink>
    </w:p>
    <w:p w14:paraId="679E37A2"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14" w:history="1">
        <w:r>
          <w:rPr>
            <w:rStyle w:val="Hyperlink"/>
            <w:rFonts w:ascii="Gill Sans MT" w:hAnsi="Gill Sans MT"/>
            <w:i/>
            <w:noProof/>
            <w:color w:val="034990"/>
            <w:sz w:val="24"/>
            <w:szCs w:val="24"/>
          </w:rPr>
          <w:t>3.4.2 Informal Settlements Mapping And Databases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_Toc106369914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31</w:t>
        </w:r>
        <w:r>
          <w:rPr>
            <w:rFonts w:ascii="Gill Sans MT" w:hAnsi="Gill Sans MT"/>
            <w:noProof/>
            <w:webHidden/>
            <w:sz w:val="24"/>
            <w:szCs w:val="24"/>
          </w:rPr>
          <w:fldChar w:fldCharType="end"/>
        </w:r>
      </w:hyperlink>
    </w:p>
    <w:p w14:paraId="3BC93CA9"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15" w:history="1">
        <w:r>
          <w:rPr>
            <w:rStyle w:val="Hyperlink"/>
            <w:rFonts w:ascii="Gill Sans MT" w:hAnsi="Gill Sans MT"/>
            <w:i/>
            <w:noProof/>
            <w:color w:val="034990"/>
            <w:sz w:val="24"/>
            <w:szCs w:val="24"/>
          </w:rPr>
          <w:t>3.4.3 Settlement Committees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_Toc106369915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31</w:t>
        </w:r>
        <w:r>
          <w:rPr>
            <w:rFonts w:ascii="Gill Sans MT" w:hAnsi="Gill Sans MT"/>
            <w:noProof/>
            <w:webHidden/>
            <w:sz w:val="24"/>
            <w:szCs w:val="24"/>
          </w:rPr>
          <w:fldChar w:fldCharType="end"/>
        </w:r>
      </w:hyperlink>
    </w:p>
    <w:p w14:paraId="3228EE12" w14:textId="77777777" w:rsidR="00E258FD" w:rsidRDefault="00E258FD">
      <w:pPr>
        <w:pStyle w:val="TOC1"/>
        <w:tabs>
          <w:tab w:val="right" w:leader="dot" w:pos="9350"/>
        </w:tabs>
        <w:spacing w:before="0" w:beforeAutospacing="0" w:line="240" w:lineRule="auto"/>
        <w:jc w:val="both"/>
        <w:rPr>
          <w:rStyle w:val="Hyperlink"/>
          <w:rFonts w:ascii="Gill Sans MT" w:hAnsi="Gill Sans MT"/>
          <w:noProof/>
          <w:sz w:val="24"/>
          <w:szCs w:val="24"/>
        </w:rPr>
      </w:pPr>
    </w:p>
    <w:p w14:paraId="6741F7BC"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16" w:history="1">
        <w:r>
          <w:rPr>
            <w:rStyle w:val="Hyperlink"/>
            <w:rFonts w:ascii="Gill Sans MT" w:hAnsi="Gill Sans MT"/>
            <w:b/>
            <w:noProof/>
            <w:sz w:val="24"/>
            <w:szCs w:val="24"/>
          </w:rPr>
          <w:t>CHAPTER FOUR</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_Toc106369916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33</w:t>
        </w:r>
        <w:r>
          <w:rPr>
            <w:rFonts w:ascii="Gill Sans MT" w:hAnsi="Gill Sans MT"/>
            <w:b/>
            <w:noProof/>
            <w:webHidden/>
            <w:sz w:val="24"/>
            <w:szCs w:val="24"/>
          </w:rPr>
          <w:fldChar w:fldCharType="end"/>
        </w:r>
      </w:hyperlink>
    </w:p>
    <w:p w14:paraId="68C9E746"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17" w:history="1">
        <w:r>
          <w:rPr>
            <w:rStyle w:val="Hyperlink"/>
            <w:rFonts w:ascii="Gill Sans MT" w:hAnsi="Gill Sans MT"/>
            <w:b/>
            <w:noProof/>
            <w:sz w:val="24"/>
            <w:szCs w:val="24"/>
          </w:rPr>
          <w:t>SLUM UPGRADING PROGRAM PROGRESS (LEGAL, POLICY AND/OR BUDGETARY INTERVENTION)</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_Toc106369917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33</w:t>
        </w:r>
        <w:r>
          <w:rPr>
            <w:rFonts w:ascii="Gill Sans MT" w:hAnsi="Gill Sans MT"/>
            <w:b/>
            <w:noProof/>
            <w:webHidden/>
            <w:sz w:val="24"/>
            <w:szCs w:val="24"/>
          </w:rPr>
          <w:fldChar w:fldCharType="end"/>
        </w:r>
      </w:hyperlink>
    </w:p>
    <w:p w14:paraId="24BA4B90" w14:textId="77777777" w:rsidR="00E258FD" w:rsidRDefault="00E258FD">
      <w:pPr>
        <w:pStyle w:val="TOC1"/>
        <w:tabs>
          <w:tab w:val="right" w:leader="dot" w:pos="9350"/>
        </w:tabs>
        <w:spacing w:before="0" w:beforeAutospacing="0" w:line="240" w:lineRule="auto"/>
        <w:jc w:val="both"/>
        <w:rPr>
          <w:rStyle w:val="Hyperlink"/>
          <w:rFonts w:ascii="Gill Sans MT" w:hAnsi="Gill Sans MT"/>
          <w:noProof/>
          <w:sz w:val="24"/>
          <w:szCs w:val="24"/>
        </w:rPr>
      </w:pPr>
    </w:p>
    <w:p w14:paraId="19F192B4"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18" w:history="1">
        <w:r>
          <w:rPr>
            <w:rStyle w:val="Hyperlink"/>
            <w:rFonts w:ascii="Gill Sans MT" w:hAnsi="Gill Sans MT"/>
            <w:b/>
            <w:noProof/>
            <w:sz w:val="24"/>
            <w:szCs w:val="24"/>
          </w:rPr>
          <w:t>CHAPTER FOUR</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_Toc106369918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36</w:t>
        </w:r>
        <w:r>
          <w:rPr>
            <w:rFonts w:ascii="Gill Sans MT" w:hAnsi="Gill Sans MT"/>
            <w:b/>
            <w:noProof/>
            <w:webHidden/>
            <w:sz w:val="24"/>
            <w:szCs w:val="24"/>
          </w:rPr>
          <w:fldChar w:fldCharType="end"/>
        </w:r>
      </w:hyperlink>
    </w:p>
    <w:p w14:paraId="6395D07D" w14:textId="77777777" w:rsidR="00E258FD" w:rsidRDefault="001372B9">
      <w:pPr>
        <w:pStyle w:val="TOC1"/>
        <w:tabs>
          <w:tab w:val="right" w:leader="dot" w:pos="9350"/>
        </w:tabs>
        <w:spacing w:before="0" w:beforeAutospacing="0" w:line="240" w:lineRule="auto"/>
        <w:jc w:val="both"/>
        <w:rPr>
          <w:rFonts w:ascii="Gill Sans MT" w:hAnsi="Gill Sans MT"/>
          <w:b/>
          <w:noProof/>
          <w:sz w:val="24"/>
          <w:szCs w:val="24"/>
        </w:rPr>
      </w:pPr>
      <w:hyperlink w:anchor="_Toc106369919" w:history="1">
        <w:r>
          <w:rPr>
            <w:rStyle w:val="Hyperlink"/>
            <w:rFonts w:ascii="Gill Sans MT" w:hAnsi="Gill Sans MT"/>
            <w:b/>
            <w:noProof/>
            <w:sz w:val="24"/>
            <w:szCs w:val="24"/>
          </w:rPr>
          <w:t>CONCLUSION &amp; RECOMMENDATIONS</w:t>
        </w:r>
        <w:r>
          <w:rPr>
            <w:rFonts w:ascii="Gill Sans MT" w:hAnsi="Gill Sans MT"/>
            <w:b/>
            <w:noProof/>
            <w:webHidden/>
            <w:sz w:val="24"/>
            <w:szCs w:val="24"/>
          </w:rPr>
          <w:tab/>
        </w:r>
        <w:r>
          <w:rPr>
            <w:rFonts w:ascii="Gill Sans MT" w:hAnsi="Gill Sans MT"/>
            <w:b/>
            <w:noProof/>
            <w:webHidden/>
            <w:sz w:val="24"/>
            <w:szCs w:val="24"/>
          </w:rPr>
          <w:fldChar w:fldCharType="begin"/>
        </w:r>
        <w:r>
          <w:rPr>
            <w:rFonts w:ascii="Gill Sans MT" w:hAnsi="Gill Sans MT"/>
            <w:b/>
            <w:noProof/>
            <w:webHidden/>
            <w:sz w:val="24"/>
            <w:szCs w:val="24"/>
          </w:rPr>
          <w:instrText xml:space="preserve"> PAGEREF _Toc106369919 \h </w:instrText>
        </w:r>
        <w:r>
          <w:rPr>
            <w:rFonts w:ascii="Gill Sans MT" w:hAnsi="Gill Sans MT"/>
            <w:b/>
            <w:noProof/>
            <w:webHidden/>
            <w:sz w:val="24"/>
            <w:szCs w:val="24"/>
          </w:rPr>
        </w:r>
        <w:r>
          <w:rPr>
            <w:rFonts w:ascii="Gill Sans MT" w:hAnsi="Gill Sans MT"/>
            <w:b/>
            <w:noProof/>
            <w:webHidden/>
            <w:sz w:val="24"/>
            <w:szCs w:val="24"/>
          </w:rPr>
          <w:fldChar w:fldCharType="separate"/>
        </w:r>
        <w:r>
          <w:rPr>
            <w:rFonts w:ascii="Gill Sans MT" w:hAnsi="Gill Sans MT"/>
            <w:b/>
            <w:noProof/>
            <w:webHidden/>
            <w:sz w:val="24"/>
            <w:szCs w:val="24"/>
          </w:rPr>
          <w:t>36</w:t>
        </w:r>
        <w:r>
          <w:rPr>
            <w:rFonts w:ascii="Gill Sans MT" w:hAnsi="Gill Sans MT"/>
            <w:b/>
            <w:noProof/>
            <w:webHidden/>
            <w:sz w:val="24"/>
            <w:szCs w:val="24"/>
          </w:rPr>
          <w:fldChar w:fldCharType="end"/>
        </w:r>
      </w:hyperlink>
    </w:p>
    <w:p w14:paraId="056C4818"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20" w:history="1">
        <w:r>
          <w:rPr>
            <w:rStyle w:val="Hyperlink"/>
            <w:rFonts w:ascii="Gill Sans MT" w:hAnsi="Gill Sans MT"/>
            <w:noProof/>
            <w:sz w:val="24"/>
            <w:szCs w:val="24"/>
          </w:rPr>
          <w:t>4.1 Making the Case for Public Participation in Slum Upgrading</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36</w:t>
        </w:r>
        <w:r>
          <w:rPr>
            <w:rFonts w:ascii="Gill Sans MT" w:hAnsi="Gill Sans MT"/>
            <w:noProof/>
            <w:webHidden/>
            <w:sz w:val="24"/>
            <w:szCs w:val="24"/>
          </w:rPr>
          <w:fldChar w:fldCharType="end"/>
        </w:r>
      </w:hyperlink>
    </w:p>
    <w:p w14:paraId="26167DCA"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21" w:history="1">
        <w:r>
          <w:rPr>
            <w:rStyle w:val="Hyperlink"/>
            <w:rFonts w:ascii="Gill Sans MT" w:hAnsi="Gill Sans MT"/>
            <w:noProof/>
            <w:sz w:val="24"/>
            <w:szCs w:val="24"/>
          </w:rPr>
          <w:t>4.2 Appreciating the Enduring Role of Non-State and other Actors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39</w:t>
        </w:r>
        <w:r>
          <w:rPr>
            <w:rFonts w:ascii="Gill Sans MT" w:hAnsi="Gill Sans MT"/>
            <w:noProof/>
            <w:webHidden/>
            <w:sz w:val="24"/>
            <w:szCs w:val="24"/>
          </w:rPr>
          <w:fldChar w:fldCharType="end"/>
        </w:r>
      </w:hyperlink>
    </w:p>
    <w:p w14:paraId="47E46348" w14:textId="77777777" w:rsidR="00E258FD" w:rsidRDefault="001372B9">
      <w:pPr>
        <w:pStyle w:val="TOC2"/>
        <w:tabs>
          <w:tab w:val="right" w:leader="dot" w:pos="9350"/>
        </w:tabs>
        <w:spacing w:before="0" w:beforeAutospacing="0" w:line="240" w:lineRule="auto"/>
        <w:jc w:val="both"/>
        <w:rPr>
          <w:rFonts w:ascii="Gill Sans MT" w:hAnsi="Gill Sans MT"/>
          <w:noProof/>
          <w:sz w:val="24"/>
          <w:szCs w:val="24"/>
        </w:rPr>
      </w:pPr>
      <w:hyperlink w:anchor="_Toc106369922" w:history="1">
        <w:r>
          <w:rPr>
            <w:rStyle w:val="Hyperlink"/>
            <w:rFonts w:ascii="Gill Sans MT" w:hAnsi="Gill Sans MT"/>
            <w:noProof/>
            <w:sz w:val="24"/>
            <w:szCs w:val="24"/>
          </w:rPr>
          <w:t>4.3 Recommendations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41</w:t>
        </w:r>
        <w:r>
          <w:rPr>
            <w:rFonts w:ascii="Gill Sans MT" w:hAnsi="Gill Sans MT"/>
            <w:noProof/>
            <w:webHidden/>
            <w:sz w:val="24"/>
            <w:szCs w:val="24"/>
          </w:rPr>
          <w:fldChar w:fldCharType="end"/>
        </w:r>
      </w:hyperlink>
    </w:p>
    <w:p w14:paraId="1FC1A424"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23" w:history="1">
        <w:r>
          <w:rPr>
            <w:rStyle w:val="Hyperlink"/>
            <w:rFonts w:ascii="Gill Sans MT" w:hAnsi="Gill Sans MT"/>
            <w:i/>
            <w:noProof/>
            <w:color w:val="034990"/>
            <w:sz w:val="24"/>
            <w:szCs w:val="24"/>
          </w:rPr>
          <w:t>4.3.1 Recommendations to government</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42</w:t>
        </w:r>
        <w:r>
          <w:rPr>
            <w:rFonts w:ascii="Gill Sans MT" w:hAnsi="Gill Sans MT"/>
            <w:noProof/>
            <w:webHidden/>
            <w:sz w:val="24"/>
            <w:szCs w:val="24"/>
          </w:rPr>
          <w:fldChar w:fldCharType="end"/>
        </w:r>
      </w:hyperlink>
    </w:p>
    <w:p w14:paraId="62C2AA87"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24" w:history="1">
        <w:r>
          <w:rPr>
            <w:rStyle w:val="Hyperlink"/>
            <w:rFonts w:ascii="Gill Sans MT" w:hAnsi="Gill Sans MT"/>
            <w:i/>
            <w:noProof/>
            <w:color w:val="034990"/>
            <w:sz w:val="24"/>
            <w:szCs w:val="24"/>
          </w:rPr>
          <w:t>4.3.2 Recommendations to development partners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_Toc106369924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42</w:t>
        </w:r>
        <w:r>
          <w:rPr>
            <w:rFonts w:ascii="Gill Sans MT" w:hAnsi="Gill Sans MT"/>
            <w:noProof/>
            <w:webHidden/>
            <w:sz w:val="24"/>
            <w:szCs w:val="24"/>
          </w:rPr>
          <w:fldChar w:fldCharType="end"/>
        </w:r>
      </w:hyperlink>
    </w:p>
    <w:p w14:paraId="6114F8BF" w14:textId="77777777" w:rsidR="00E258FD" w:rsidRDefault="001372B9">
      <w:pPr>
        <w:pStyle w:val="TOC3"/>
        <w:tabs>
          <w:tab w:val="right" w:leader="dot" w:pos="9350"/>
        </w:tabs>
        <w:spacing w:before="0" w:beforeAutospacing="0" w:line="240" w:lineRule="auto"/>
        <w:jc w:val="both"/>
        <w:rPr>
          <w:rFonts w:ascii="Gill Sans MT" w:hAnsi="Gill Sans MT"/>
          <w:noProof/>
          <w:sz w:val="24"/>
          <w:szCs w:val="24"/>
        </w:rPr>
      </w:pPr>
      <w:hyperlink w:anchor="_Toc106369925" w:history="1">
        <w:r>
          <w:rPr>
            <w:rStyle w:val="Hyperlink"/>
            <w:rFonts w:ascii="Gill Sans MT" w:hAnsi="Gill Sans MT"/>
            <w:i/>
            <w:noProof/>
            <w:color w:val="034990"/>
            <w:sz w:val="24"/>
            <w:szCs w:val="24"/>
          </w:rPr>
          <w:t>4.3.1 Recommendations to the community</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_Toc106369925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42</w:t>
        </w:r>
        <w:r>
          <w:rPr>
            <w:rFonts w:ascii="Gill Sans MT" w:hAnsi="Gill Sans MT"/>
            <w:noProof/>
            <w:webHidden/>
            <w:sz w:val="24"/>
            <w:szCs w:val="24"/>
          </w:rPr>
          <w:fldChar w:fldCharType="end"/>
        </w:r>
      </w:hyperlink>
    </w:p>
    <w:p w14:paraId="7C97B351" w14:textId="77777777" w:rsidR="00E258FD" w:rsidRDefault="00E258FD">
      <w:pPr>
        <w:pStyle w:val="TOC1"/>
        <w:tabs>
          <w:tab w:val="right" w:leader="dot" w:pos="9350"/>
        </w:tabs>
        <w:spacing w:before="0" w:beforeAutospacing="0" w:line="240" w:lineRule="auto"/>
        <w:jc w:val="both"/>
        <w:rPr>
          <w:rStyle w:val="Hyperlink"/>
          <w:rFonts w:ascii="Gill Sans MT" w:hAnsi="Gill Sans MT"/>
          <w:noProof/>
          <w:sz w:val="24"/>
          <w:szCs w:val="24"/>
        </w:rPr>
      </w:pPr>
    </w:p>
    <w:p w14:paraId="62C714E6" w14:textId="77777777" w:rsidR="00E258FD" w:rsidRDefault="001372B9">
      <w:pPr>
        <w:pStyle w:val="TOC1"/>
        <w:tabs>
          <w:tab w:val="right" w:leader="dot" w:pos="9350"/>
        </w:tabs>
        <w:spacing w:before="0" w:beforeAutospacing="0" w:line="240" w:lineRule="auto"/>
        <w:jc w:val="both"/>
        <w:rPr>
          <w:rFonts w:ascii="Gill Sans MT" w:hAnsi="Gill Sans MT"/>
          <w:noProof/>
          <w:sz w:val="24"/>
          <w:szCs w:val="24"/>
        </w:rPr>
      </w:pPr>
      <w:hyperlink w:anchor="_Toc106369926" w:history="1">
        <w:r>
          <w:rPr>
            <w:rStyle w:val="Hyperlink"/>
            <w:rFonts w:ascii="Gill Sans MT" w:hAnsi="Gill Sans MT"/>
            <w:b/>
            <w:noProof/>
            <w:sz w:val="24"/>
            <w:szCs w:val="24"/>
          </w:rPr>
          <w:t>REFERENCES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_Toc106369926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44</w:t>
        </w:r>
        <w:r>
          <w:rPr>
            <w:rFonts w:ascii="Gill Sans MT" w:hAnsi="Gill Sans MT"/>
            <w:noProof/>
            <w:webHidden/>
            <w:sz w:val="24"/>
            <w:szCs w:val="24"/>
          </w:rPr>
          <w:fldChar w:fldCharType="end"/>
        </w:r>
      </w:hyperlink>
    </w:p>
    <w:p w14:paraId="0A7999BE" w14:textId="77777777" w:rsidR="00E258FD" w:rsidRDefault="001372B9">
      <w:pPr>
        <w:spacing w:before="0" w:beforeAutospacing="0" w:line="240" w:lineRule="auto"/>
        <w:jc w:val="both"/>
      </w:pPr>
      <w:r>
        <w:rPr>
          <w:rFonts w:ascii="Gill Sans MT" w:hAnsi="Gill Sans MT"/>
          <w:b/>
          <w:bCs/>
          <w:noProof/>
          <w:sz w:val="24"/>
          <w:szCs w:val="24"/>
        </w:rPr>
        <w:fldChar w:fldCharType="end"/>
      </w:r>
    </w:p>
    <w:p w14:paraId="760BCDDC" w14:textId="77777777" w:rsidR="00E258FD" w:rsidRDefault="001372B9">
      <w:pPr>
        <w:spacing w:before="0" w:beforeAutospacing="0" w:after="0" w:line="360" w:lineRule="auto"/>
        <w:rPr>
          <w:rFonts w:ascii="Gill Sans MT" w:eastAsia="Calibri" w:hAnsi="Gill Sans MT"/>
          <w:sz w:val="24"/>
          <w:szCs w:val="24"/>
          <w:lang w:eastAsia="zh-CN"/>
        </w:rPr>
      </w:pPr>
      <w:r>
        <w:rPr>
          <w:rFonts w:ascii="Gill Sans MT" w:eastAsia="Calibri" w:hAnsi="Gill Sans MT"/>
          <w:sz w:val="24"/>
          <w:szCs w:val="24"/>
          <w:lang w:eastAsia="zh-CN"/>
        </w:rPr>
        <w:br w:type="page"/>
      </w:r>
    </w:p>
    <w:p w14:paraId="3DE567D5" w14:textId="77777777" w:rsidR="00E258FD" w:rsidRDefault="001372B9">
      <w:pPr>
        <w:pStyle w:val="Heading2"/>
        <w:spacing w:before="0" w:beforeAutospacing="0" w:line="360" w:lineRule="auto"/>
        <w:rPr>
          <w:rFonts w:ascii="Gill Sans MT" w:hAnsi="Gill Sans MT"/>
          <w:color w:val="0070C0"/>
          <w:lang w:eastAsia="zh-CN"/>
        </w:rPr>
      </w:pPr>
      <w:bookmarkStart w:id="3" w:name="_Toc106369881"/>
      <w:r>
        <w:rPr>
          <w:rFonts w:ascii="Gill Sans MT" w:hAnsi="Gill Sans MT"/>
          <w:color w:val="0070C0"/>
          <w:lang w:eastAsia="zh-CN"/>
        </w:rPr>
        <w:lastRenderedPageBreak/>
        <w:t>List of Acronyms</w:t>
      </w:r>
      <w:bookmarkEnd w:id="3"/>
      <w:r>
        <w:rPr>
          <w:rFonts w:ascii="Gill Sans MT" w:hAnsi="Gill Sans MT"/>
          <w:color w:val="0070C0"/>
          <w:lang w:eastAsia="zh-CN"/>
        </w:rPr>
        <w:t xml:space="preserve"> </w:t>
      </w:r>
    </w:p>
    <w:p w14:paraId="24CD3A69"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AAGR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Average Annual Growth Rate; </w:t>
      </w:r>
    </w:p>
    <w:p w14:paraId="7046946D"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AARCPU </w:t>
      </w:r>
      <w:r>
        <w:rPr>
          <w:rFonts w:ascii="Gill Sans MT" w:eastAsia="Calibri" w:hAnsi="Gill Sans MT"/>
          <w:sz w:val="24"/>
          <w:szCs w:val="24"/>
          <w:lang w:eastAsia="zh-CN"/>
        </w:rPr>
        <w:tab/>
      </w:r>
      <w:r>
        <w:rPr>
          <w:rFonts w:ascii="Gill Sans MT" w:eastAsia="Calibri" w:hAnsi="Gill Sans MT"/>
          <w:sz w:val="24"/>
          <w:szCs w:val="24"/>
          <w:lang w:eastAsia="zh-CN"/>
        </w:rPr>
        <w:tab/>
        <w:t>Average Annual Rate of Change of Proportion Urban</w:t>
      </w:r>
    </w:p>
    <w:p w14:paraId="5EB901F9"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AMT</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Akiba Mashinani Trust </w:t>
      </w:r>
    </w:p>
    <w:p w14:paraId="7A8D8858"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CBOs</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Community Based Organizations</w:t>
      </w:r>
    </w:p>
    <w:p w14:paraId="22B47E79"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COHRE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 xml:space="preserve">Centre for Housing Rights and Eviction </w:t>
      </w:r>
    </w:p>
    <w:p w14:paraId="0164AE05"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CSOs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Civil Society Organizations</w:t>
      </w:r>
    </w:p>
    <w:p w14:paraId="0E74A2ED"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FY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Fiscal year</w:t>
      </w:r>
    </w:p>
    <w:p w14:paraId="2B9B1EEA"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GIS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Geographic Information System </w:t>
      </w:r>
    </w:p>
    <w:p w14:paraId="78FDBA8D"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HIV/AIDS </w:t>
      </w:r>
      <w:r>
        <w:rPr>
          <w:rFonts w:ascii="Gill Sans MT" w:eastAsia="Calibri" w:hAnsi="Gill Sans MT"/>
          <w:sz w:val="24"/>
          <w:szCs w:val="24"/>
          <w:lang w:eastAsia="zh-CN"/>
        </w:rPr>
        <w:tab/>
      </w:r>
      <w:r>
        <w:rPr>
          <w:rFonts w:ascii="Gill Sans MT" w:eastAsia="Calibri" w:hAnsi="Gill Sans MT"/>
          <w:sz w:val="24"/>
          <w:szCs w:val="24"/>
          <w:lang w:eastAsia="zh-CN"/>
        </w:rPr>
        <w:tab/>
        <w:t xml:space="preserve">Human Immunodeficiency Virus and Acquired Immunodeficiency </w:t>
      </w:r>
    </w:p>
    <w:p w14:paraId="38EABCFB" w14:textId="77777777" w:rsidR="00E258FD" w:rsidRDefault="001372B9">
      <w:pPr>
        <w:spacing w:before="0" w:beforeAutospacing="0" w:after="0" w:line="360" w:lineRule="auto"/>
        <w:ind w:left="1440" w:firstLine="720"/>
        <w:jc w:val="both"/>
        <w:rPr>
          <w:rFonts w:ascii="Gill Sans MT" w:eastAsia="Calibri" w:hAnsi="Gill Sans MT"/>
          <w:sz w:val="24"/>
          <w:szCs w:val="24"/>
          <w:lang w:eastAsia="zh-CN"/>
        </w:rPr>
      </w:pPr>
      <w:r>
        <w:rPr>
          <w:rFonts w:ascii="Gill Sans MT" w:eastAsia="Calibri" w:hAnsi="Gill Sans MT"/>
          <w:sz w:val="24"/>
          <w:szCs w:val="24"/>
          <w:lang w:eastAsia="zh-CN"/>
        </w:rPr>
        <w:t>Syndrome</w:t>
      </w:r>
    </w:p>
    <w:p w14:paraId="2060ADE5"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IDP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Internally Displaced Persons</w:t>
      </w:r>
    </w:p>
    <w:p w14:paraId="37FBF352"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IIED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 xml:space="preserve">International Institute for Environment and Development, </w:t>
      </w:r>
    </w:p>
    <w:p w14:paraId="57B2756B"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KENSUP</w:t>
      </w:r>
      <w:r>
        <w:rPr>
          <w:rFonts w:ascii="Gill Sans MT" w:eastAsia="Calibri" w:hAnsi="Gill Sans MT"/>
          <w:sz w:val="24"/>
          <w:szCs w:val="24"/>
          <w:lang w:eastAsia="zh-CN"/>
        </w:rPr>
        <w:tab/>
      </w:r>
      <w:r>
        <w:rPr>
          <w:rFonts w:ascii="Gill Sans MT" w:eastAsia="Calibri" w:hAnsi="Gill Sans MT"/>
          <w:sz w:val="24"/>
          <w:szCs w:val="24"/>
          <w:lang w:eastAsia="zh-CN"/>
        </w:rPr>
        <w:tab/>
        <w:t xml:space="preserve">Kenya Slum Upgrading Programme </w:t>
      </w:r>
    </w:p>
    <w:p w14:paraId="744F6189"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KISIP</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Kenya Informal Settlements Improvement Project</w:t>
      </w:r>
    </w:p>
    <w:p w14:paraId="245DB28B"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K-WATS </w:t>
      </w:r>
      <w:r>
        <w:rPr>
          <w:rFonts w:ascii="Gill Sans MT" w:eastAsia="Calibri" w:hAnsi="Gill Sans MT"/>
          <w:sz w:val="24"/>
          <w:szCs w:val="24"/>
          <w:lang w:eastAsia="zh-CN"/>
        </w:rPr>
        <w:tab/>
      </w:r>
      <w:r>
        <w:rPr>
          <w:rFonts w:ascii="Gill Sans MT" w:eastAsia="Calibri" w:hAnsi="Gill Sans MT"/>
          <w:sz w:val="24"/>
          <w:szCs w:val="24"/>
          <w:lang w:eastAsia="zh-CN"/>
        </w:rPr>
        <w:tab/>
        <w:t xml:space="preserve">Kibera Integrated Water, Sanitation, and Waste Management Project </w:t>
      </w:r>
    </w:p>
    <w:p w14:paraId="39973605"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LAPSSET </w:t>
      </w:r>
      <w:r>
        <w:rPr>
          <w:rFonts w:ascii="Gill Sans MT" w:eastAsia="Calibri" w:hAnsi="Gill Sans MT"/>
          <w:sz w:val="24"/>
          <w:szCs w:val="24"/>
          <w:lang w:eastAsia="zh-CN"/>
        </w:rPr>
        <w:tab/>
      </w:r>
      <w:r>
        <w:rPr>
          <w:rFonts w:ascii="Gill Sans MT" w:eastAsia="Calibri" w:hAnsi="Gill Sans MT"/>
          <w:sz w:val="24"/>
          <w:szCs w:val="24"/>
          <w:lang w:eastAsia="zh-CN"/>
        </w:rPr>
        <w:tab/>
        <w:t xml:space="preserve">Lamu Port, South </w:t>
      </w:r>
      <w:r>
        <w:rPr>
          <w:rFonts w:ascii="Gill Sans MT" w:eastAsia="Calibri" w:hAnsi="Gill Sans MT"/>
          <w:sz w:val="24"/>
          <w:szCs w:val="24"/>
          <w:lang w:eastAsia="zh-CN"/>
        </w:rPr>
        <w:t xml:space="preserve">Sudan and Ethiopia Transport </w:t>
      </w:r>
    </w:p>
    <w:p w14:paraId="79002824"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MDGs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Mellenium Development Goals</w:t>
      </w:r>
    </w:p>
    <w:p w14:paraId="1610F47A"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MOTIHUD</w:t>
      </w:r>
      <w:r>
        <w:rPr>
          <w:rFonts w:ascii="Gill Sans MT" w:eastAsia="Calibri" w:hAnsi="Gill Sans MT"/>
          <w:sz w:val="24"/>
          <w:szCs w:val="24"/>
          <w:lang w:eastAsia="zh-CN"/>
        </w:rPr>
        <w:tab/>
      </w:r>
      <w:r>
        <w:rPr>
          <w:rFonts w:ascii="Gill Sans MT" w:eastAsia="Calibri" w:hAnsi="Gill Sans MT"/>
          <w:sz w:val="24"/>
          <w:szCs w:val="24"/>
          <w:lang w:eastAsia="zh-CN"/>
        </w:rPr>
        <w:tab/>
        <w:t xml:space="preserve">Ministry of Transport Infrastructure and Urban Development  </w:t>
      </w:r>
    </w:p>
    <w:p w14:paraId="237FA87D"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MTPIII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Third Medium Term Plan (2018-2022)</w:t>
      </w:r>
    </w:p>
    <w:p w14:paraId="736F97C7"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NCC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Nairobi City County </w:t>
      </w:r>
    </w:p>
    <w:p w14:paraId="1B1E9B5D"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NCIDP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 xml:space="preserve">Nairobi County Integrated Development Plan </w:t>
      </w:r>
    </w:p>
    <w:p w14:paraId="003B122F"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NGO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Non-Governmental Organization</w:t>
      </w:r>
    </w:p>
    <w:p w14:paraId="75354EEA"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NISCC</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Nairobi Informal Settlements Coordination Committee </w:t>
      </w:r>
    </w:p>
    <w:p w14:paraId="19216FE8"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NLP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National Land Policy</w:t>
      </w:r>
    </w:p>
    <w:p w14:paraId="32CED3C0"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NYS</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National Youth Service </w:t>
      </w:r>
    </w:p>
    <w:p w14:paraId="439E36A1"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PU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Proportion urban (PU</w:t>
      </w:r>
    </w:p>
    <w:p w14:paraId="27A29C13"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RAP</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Relocation Action </w:t>
      </w:r>
      <w:r>
        <w:rPr>
          <w:rFonts w:ascii="Gill Sans MT" w:eastAsia="Calibri" w:hAnsi="Gill Sans MT"/>
          <w:sz w:val="24"/>
          <w:szCs w:val="24"/>
          <w:lang w:eastAsia="zh-CN"/>
        </w:rPr>
        <w:t>Plan</w:t>
      </w:r>
    </w:p>
    <w:p w14:paraId="244A59B9"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SEC</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Settlement Executive Committee </w:t>
      </w:r>
    </w:p>
    <w:p w14:paraId="5360D95C"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SIDA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Swedish International Development Agency </w:t>
      </w:r>
    </w:p>
    <w:p w14:paraId="457F7F61"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SNP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Sustainable Neighbourhood Programme </w:t>
      </w:r>
    </w:p>
    <w:p w14:paraId="474687BA"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lastRenderedPageBreak/>
        <w:t>SPA</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 xml:space="preserve">Special Planning Area </w:t>
      </w:r>
    </w:p>
    <w:p w14:paraId="77D1BC17"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UN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United Nations</w:t>
      </w:r>
    </w:p>
    <w:p w14:paraId="4429B02C"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UNDESA</w:t>
      </w:r>
      <w:r>
        <w:rPr>
          <w:rFonts w:ascii="Gill Sans MT" w:eastAsia="Calibri" w:hAnsi="Gill Sans MT"/>
          <w:sz w:val="24"/>
          <w:szCs w:val="24"/>
          <w:lang w:eastAsia="zh-CN"/>
        </w:rPr>
        <w:tab/>
      </w:r>
      <w:r>
        <w:rPr>
          <w:rFonts w:ascii="Gill Sans MT" w:eastAsia="Calibri" w:hAnsi="Gill Sans MT"/>
          <w:sz w:val="24"/>
          <w:szCs w:val="24"/>
          <w:lang w:eastAsia="zh-CN"/>
        </w:rPr>
        <w:tab/>
        <w:t>United Nations Department of Economic and Social Affairs</w:t>
      </w:r>
    </w:p>
    <w:p w14:paraId="0E585E88"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UN-H</w:t>
      </w:r>
      <w:r>
        <w:rPr>
          <w:rFonts w:ascii="Gill Sans MT" w:eastAsia="Calibri" w:hAnsi="Gill Sans MT"/>
          <w:sz w:val="24"/>
          <w:szCs w:val="24"/>
          <w:lang w:eastAsia="zh-CN"/>
        </w:rPr>
        <w:t>ABITAT</w:t>
      </w:r>
      <w:r>
        <w:rPr>
          <w:rFonts w:ascii="Gill Sans MT" w:eastAsia="Calibri" w:hAnsi="Gill Sans MT"/>
          <w:sz w:val="24"/>
          <w:szCs w:val="24"/>
          <w:lang w:eastAsia="zh-CN"/>
        </w:rPr>
        <w:tab/>
      </w:r>
      <w:r>
        <w:rPr>
          <w:rFonts w:ascii="Gill Sans MT" w:eastAsia="Calibri" w:hAnsi="Gill Sans MT"/>
          <w:sz w:val="24"/>
          <w:szCs w:val="24"/>
          <w:lang w:eastAsia="zh-CN"/>
        </w:rPr>
        <w:tab/>
        <w:t>United Nations Human Settlements Programme</w:t>
      </w:r>
    </w:p>
    <w:p w14:paraId="6F2F3303" w14:textId="77777777" w:rsidR="00E258FD" w:rsidRDefault="001372B9">
      <w:pPr>
        <w:spacing w:before="0" w:beforeAutospacing="0" w:after="0" w:line="360" w:lineRule="auto"/>
        <w:jc w:val="both"/>
        <w:rPr>
          <w:rFonts w:ascii="Gill Sans MT" w:eastAsia="Calibri" w:hAnsi="Gill Sans MT"/>
          <w:sz w:val="24"/>
          <w:szCs w:val="24"/>
          <w:lang w:eastAsia="zh-CN"/>
        </w:rPr>
      </w:pPr>
      <w:r>
        <w:rPr>
          <w:rFonts w:ascii="Gill Sans MT" w:eastAsia="Calibri" w:hAnsi="Gill Sans MT"/>
          <w:sz w:val="24"/>
          <w:szCs w:val="24"/>
          <w:lang w:eastAsia="zh-CN"/>
        </w:rPr>
        <w:t xml:space="preserve">USD </w:t>
      </w:r>
      <w:r>
        <w:rPr>
          <w:rFonts w:ascii="Gill Sans MT" w:eastAsia="Calibri" w:hAnsi="Gill Sans MT"/>
          <w:sz w:val="24"/>
          <w:szCs w:val="24"/>
          <w:lang w:eastAsia="zh-CN"/>
        </w:rPr>
        <w:tab/>
      </w:r>
      <w:r>
        <w:rPr>
          <w:rFonts w:ascii="Gill Sans MT" w:eastAsia="Calibri" w:hAnsi="Gill Sans MT"/>
          <w:sz w:val="24"/>
          <w:szCs w:val="24"/>
          <w:lang w:eastAsia="zh-CN"/>
        </w:rPr>
        <w:tab/>
      </w:r>
      <w:r>
        <w:rPr>
          <w:rFonts w:ascii="Gill Sans MT" w:eastAsia="Calibri" w:hAnsi="Gill Sans MT"/>
          <w:sz w:val="24"/>
          <w:szCs w:val="24"/>
          <w:lang w:eastAsia="zh-CN"/>
        </w:rPr>
        <w:tab/>
        <w:t>United States Dollar</w:t>
      </w:r>
    </w:p>
    <w:p w14:paraId="00C4EF5B" w14:textId="77777777" w:rsidR="00E258FD" w:rsidRDefault="001372B9">
      <w:pPr>
        <w:pStyle w:val="Heading2"/>
        <w:spacing w:before="0" w:beforeAutospacing="0" w:line="360" w:lineRule="auto"/>
        <w:rPr>
          <w:rFonts w:ascii="Gill Sans MT" w:hAnsi="Gill Sans MT"/>
          <w:color w:val="0070C0"/>
          <w:lang w:eastAsia="zh-CN"/>
        </w:rPr>
      </w:pPr>
      <w:r>
        <w:rPr>
          <w:rFonts w:ascii="Gill Sans MT" w:hAnsi="Gill Sans MT"/>
          <w:lang w:eastAsia="zh-CN"/>
        </w:rPr>
        <w:br w:type="page"/>
      </w:r>
    </w:p>
    <w:p w14:paraId="1E1F33E0" w14:textId="77777777" w:rsidR="00E258FD" w:rsidRDefault="001372B9">
      <w:pPr>
        <w:pStyle w:val="Heading2"/>
        <w:spacing w:before="0" w:beforeAutospacing="0" w:line="360" w:lineRule="auto"/>
        <w:rPr>
          <w:rFonts w:ascii="Gill Sans MT" w:hAnsi="Gill Sans MT"/>
          <w:color w:val="0070C0"/>
          <w:sz w:val="24"/>
          <w:szCs w:val="24"/>
          <w:lang w:eastAsia="zh-CN"/>
        </w:rPr>
      </w:pPr>
      <w:bookmarkStart w:id="4" w:name="_Toc106369882"/>
      <w:r>
        <w:rPr>
          <w:rFonts w:ascii="Gill Sans MT" w:hAnsi="Gill Sans MT"/>
          <w:color w:val="0070C0"/>
          <w:sz w:val="24"/>
          <w:szCs w:val="24"/>
          <w:lang w:eastAsia="zh-CN"/>
        </w:rPr>
        <w:lastRenderedPageBreak/>
        <w:t xml:space="preserve">List of </w:t>
      </w:r>
      <w:bookmarkEnd w:id="4"/>
      <w:r>
        <w:rPr>
          <w:rFonts w:ascii="Gill Sans MT" w:hAnsi="Gill Sans MT"/>
          <w:color w:val="0070C0"/>
          <w:sz w:val="24"/>
          <w:szCs w:val="24"/>
          <w:lang w:eastAsia="zh-CN"/>
        </w:rPr>
        <w:t>Tables</w:t>
      </w:r>
    </w:p>
    <w:p w14:paraId="2E15EC99" w14:textId="77777777" w:rsidR="00E258FD" w:rsidRDefault="001372B9">
      <w:pPr>
        <w:pStyle w:val="TableofFigures"/>
        <w:tabs>
          <w:tab w:val="right" w:leader="dot" w:pos="9350"/>
        </w:tabs>
        <w:spacing w:before="0" w:beforeAutospacing="0" w:line="360" w:lineRule="auto"/>
        <w:rPr>
          <w:rFonts w:ascii="Gill Sans MT" w:hAnsi="Gill Sans MT"/>
          <w:noProof/>
          <w:sz w:val="24"/>
          <w:szCs w:val="24"/>
        </w:rPr>
      </w:pPr>
      <w:r>
        <w:rPr>
          <w:rFonts w:ascii="Gill Sans MT" w:eastAsia="Calibri" w:hAnsi="Gill Sans MT"/>
          <w:sz w:val="24"/>
          <w:szCs w:val="24"/>
          <w:lang w:eastAsia="zh-CN"/>
        </w:rPr>
        <w:fldChar w:fldCharType="begin"/>
      </w:r>
      <w:r>
        <w:rPr>
          <w:rFonts w:ascii="Gill Sans MT" w:eastAsia="Calibri" w:hAnsi="Gill Sans MT"/>
          <w:sz w:val="24"/>
          <w:szCs w:val="24"/>
          <w:lang w:eastAsia="zh-CN"/>
        </w:rPr>
        <w:instrText xml:space="preserve"> TOC \h \z \c "Table" </w:instrText>
      </w:r>
      <w:r>
        <w:rPr>
          <w:rFonts w:ascii="Gill Sans MT" w:eastAsia="Calibri" w:hAnsi="Gill Sans MT"/>
          <w:sz w:val="24"/>
          <w:szCs w:val="24"/>
          <w:lang w:eastAsia="zh-CN"/>
        </w:rPr>
        <w:fldChar w:fldCharType="separate"/>
      </w:r>
      <w:hyperlink w:anchor="_Toc106370781" w:history="1">
        <w:r>
          <w:rPr>
            <w:rStyle w:val="Hyperlink"/>
            <w:rFonts w:ascii="Gill Sans MT" w:hAnsi="Gill Sans MT"/>
            <w:noProof/>
            <w:sz w:val="24"/>
            <w:szCs w:val="24"/>
          </w:rPr>
          <w:t>Table 1: Slum Upgrading Program Progress – legal, policy and budgetary intervention Matrix</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w:instrText>
        </w:r>
        <w:r>
          <w:rPr>
            <w:rFonts w:ascii="Gill Sans MT" w:hAnsi="Gill Sans MT"/>
            <w:noProof/>
            <w:webHidden/>
            <w:sz w:val="24"/>
            <w:szCs w:val="24"/>
          </w:rPr>
          <w:instrText xml:space="preserve">06370781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33</w:t>
        </w:r>
        <w:r>
          <w:rPr>
            <w:rFonts w:ascii="Gill Sans MT" w:hAnsi="Gill Sans MT"/>
            <w:noProof/>
            <w:webHidden/>
            <w:sz w:val="24"/>
            <w:szCs w:val="24"/>
          </w:rPr>
          <w:fldChar w:fldCharType="end"/>
        </w:r>
      </w:hyperlink>
    </w:p>
    <w:p w14:paraId="1A226EDB" w14:textId="77777777" w:rsidR="00E258FD" w:rsidRDefault="001372B9">
      <w:pPr>
        <w:spacing w:before="0" w:beforeAutospacing="0" w:after="0" w:line="360" w:lineRule="auto"/>
        <w:rPr>
          <w:rFonts w:ascii="Gill Sans MT" w:eastAsia="Calibri" w:hAnsi="Gill Sans MT"/>
          <w:sz w:val="24"/>
          <w:szCs w:val="24"/>
          <w:lang w:eastAsia="zh-CN"/>
        </w:rPr>
      </w:pPr>
      <w:r>
        <w:rPr>
          <w:rFonts w:ascii="Gill Sans MT" w:eastAsia="Calibri" w:hAnsi="Gill Sans MT"/>
          <w:sz w:val="24"/>
          <w:szCs w:val="24"/>
          <w:lang w:eastAsia="zh-CN"/>
        </w:rPr>
        <w:fldChar w:fldCharType="end"/>
      </w:r>
      <w:r>
        <w:rPr>
          <w:rFonts w:ascii="Gill Sans MT" w:eastAsia="Calibri" w:hAnsi="Gill Sans MT"/>
          <w:sz w:val="24"/>
          <w:szCs w:val="24"/>
          <w:lang w:eastAsia="zh-CN"/>
        </w:rPr>
        <w:br w:type="page"/>
      </w:r>
      <w:bookmarkStart w:id="5" w:name="_GoBack"/>
      <w:bookmarkEnd w:id="5"/>
    </w:p>
    <w:p w14:paraId="36038B68" w14:textId="77777777" w:rsidR="00E258FD" w:rsidRDefault="001372B9">
      <w:pPr>
        <w:pStyle w:val="Heading2"/>
        <w:spacing w:before="0" w:beforeAutospacing="0" w:line="360" w:lineRule="auto"/>
        <w:rPr>
          <w:rFonts w:ascii="Gill Sans MT" w:hAnsi="Gill Sans MT"/>
          <w:color w:val="0070C0"/>
          <w:sz w:val="24"/>
          <w:szCs w:val="24"/>
          <w:lang w:eastAsia="zh-CN"/>
        </w:rPr>
      </w:pPr>
      <w:bookmarkStart w:id="6" w:name="_Toc106369883"/>
      <w:r>
        <w:rPr>
          <w:rFonts w:ascii="Gill Sans MT" w:hAnsi="Gill Sans MT"/>
          <w:color w:val="0070C0"/>
          <w:sz w:val="24"/>
          <w:szCs w:val="24"/>
          <w:lang w:eastAsia="zh-CN"/>
        </w:rPr>
        <w:lastRenderedPageBreak/>
        <w:t xml:space="preserve">List of </w:t>
      </w:r>
      <w:bookmarkEnd w:id="6"/>
      <w:r>
        <w:rPr>
          <w:rFonts w:ascii="Gill Sans MT" w:hAnsi="Gill Sans MT"/>
          <w:color w:val="0070C0"/>
          <w:sz w:val="24"/>
          <w:szCs w:val="24"/>
          <w:lang w:eastAsia="zh-CN"/>
        </w:rPr>
        <w:t>Figures</w:t>
      </w:r>
    </w:p>
    <w:p w14:paraId="4107EDAF" w14:textId="77777777" w:rsidR="00E258FD" w:rsidRDefault="001372B9">
      <w:pPr>
        <w:pStyle w:val="TableofFigures"/>
        <w:tabs>
          <w:tab w:val="right" w:leader="dot" w:pos="9350"/>
        </w:tabs>
        <w:spacing w:before="0" w:beforeAutospacing="0" w:line="360" w:lineRule="auto"/>
        <w:rPr>
          <w:rFonts w:ascii="Gill Sans MT" w:eastAsia="DengXian" w:hAnsi="Gill Sans MT" w:cs="SimSun"/>
          <w:noProof/>
          <w:sz w:val="24"/>
          <w:szCs w:val="24"/>
        </w:rPr>
      </w:pPr>
      <w:r>
        <w:rPr>
          <w:rFonts w:ascii="Gill Sans MT" w:eastAsia="Calibri" w:hAnsi="Gill Sans MT"/>
          <w:sz w:val="24"/>
          <w:szCs w:val="24"/>
        </w:rPr>
        <w:fldChar w:fldCharType="begin"/>
      </w:r>
      <w:r>
        <w:rPr>
          <w:rFonts w:ascii="Gill Sans MT" w:eastAsia="Calibri" w:hAnsi="Gill Sans MT"/>
          <w:sz w:val="24"/>
          <w:szCs w:val="24"/>
        </w:rPr>
        <w:instrText xml:space="preserve"> TOC \h \z \c "Figure" </w:instrText>
      </w:r>
      <w:r>
        <w:rPr>
          <w:rFonts w:ascii="Gill Sans MT" w:eastAsia="Calibri" w:hAnsi="Gill Sans MT"/>
          <w:sz w:val="24"/>
          <w:szCs w:val="24"/>
        </w:rPr>
        <w:fldChar w:fldCharType="separate"/>
      </w:r>
      <w:hyperlink w:anchor="_Toc106370800" w:history="1">
        <w:r>
          <w:rPr>
            <w:rStyle w:val="Hyperlink"/>
            <w:rFonts w:ascii="Gill Sans MT" w:hAnsi="Gill Sans MT"/>
            <w:noProof/>
            <w:sz w:val="24"/>
            <w:szCs w:val="24"/>
          </w:rPr>
          <w:t xml:space="preserve">Figure 1: Urban population trends and projection and average annual rate of change of the </w:t>
        </w:r>
        <w:r>
          <w:rPr>
            <w:rStyle w:val="Hyperlink"/>
            <w:rFonts w:ascii="Gill Sans MT" w:hAnsi="Gill Sans MT"/>
            <w:noProof/>
            <w:sz w:val="24"/>
            <w:szCs w:val="24"/>
          </w:rPr>
          <w:t>percentage urban, 1960–2030</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_Toc106370800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2</w:t>
        </w:r>
        <w:r>
          <w:rPr>
            <w:rFonts w:ascii="Gill Sans MT" w:hAnsi="Gill Sans MT"/>
            <w:noProof/>
            <w:webHidden/>
            <w:sz w:val="24"/>
            <w:szCs w:val="24"/>
          </w:rPr>
          <w:fldChar w:fldCharType="end"/>
        </w:r>
      </w:hyperlink>
    </w:p>
    <w:p w14:paraId="68362D16" w14:textId="77777777" w:rsidR="00E258FD" w:rsidRDefault="001372B9">
      <w:pPr>
        <w:pStyle w:val="TableofFigures"/>
        <w:tabs>
          <w:tab w:val="right" w:leader="dot" w:pos="9350"/>
        </w:tabs>
        <w:spacing w:before="0" w:beforeAutospacing="0" w:line="360" w:lineRule="auto"/>
        <w:rPr>
          <w:rFonts w:ascii="Gill Sans MT" w:eastAsia="DengXian" w:hAnsi="Gill Sans MT" w:cs="SimSun"/>
          <w:noProof/>
          <w:sz w:val="24"/>
          <w:szCs w:val="24"/>
        </w:rPr>
      </w:pPr>
      <w:hyperlink w:anchor="_Toc106370801" w:history="1">
        <w:r>
          <w:rPr>
            <w:rStyle w:val="Hyperlink"/>
            <w:rFonts w:ascii="Gill Sans MT" w:hAnsi="Gill Sans MT"/>
            <w:noProof/>
            <w:sz w:val="24"/>
            <w:szCs w:val="24"/>
          </w:rPr>
          <w:t>Figure 2: Arnstein's Participation Ladder</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_Toc106370801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37</w:t>
        </w:r>
        <w:r>
          <w:rPr>
            <w:rFonts w:ascii="Gill Sans MT" w:hAnsi="Gill Sans MT"/>
            <w:noProof/>
            <w:webHidden/>
            <w:sz w:val="24"/>
            <w:szCs w:val="24"/>
          </w:rPr>
          <w:fldChar w:fldCharType="end"/>
        </w:r>
      </w:hyperlink>
    </w:p>
    <w:p w14:paraId="016C8F05" w14:textId="77777777" w:rsidR="00E258FD" w:rsidRDefault="001372B9">
      <w:pPr>
        <w:pStyle w:val="TableofFigures"/>
        <w:tabs>
          <w:tab w:val="right" w:leader="dot" w:pos="9350"/>
        </w:tabs>
        <w:spacing w:before="0" w:beforeAutospacing="0" w:line="360" w:lineRule="auto"/>
        <w:rPr>
          <w:rFonts w:ascii="Gill Sans MT" w:eastAsia="DengXian" w:hAnsi="Gill Sans MT" w:cs="SimSun"/>
          <w:noProof/>
          <w:sz w:val="24"/>
          <w:szCs w:val="24"/>
        </w:rPr>
      </w:pPr>
      <w:hyperlink w:anchor="_Toc106370802" w:history="1">
        <w:r>
          <w:rPr>
            <w:rStyle w:val="Hyperlink"/>
            <w:rFonts w:ascii="Gill Sans MT" w:hAnsi="Gill Sans MT"/>
            <w:noProof/>
            <w:sz w:val="24"/>
            <w:szCs w:val="24"/>
          </w:rPr>
          <w:t>Figure 3: Choquill's Participation Ladder</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_Toc106370802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38</w:t>
        </w:r>
        <w:r>
          <w:rPr>
            <w:rFonts w:ascii="Gill Sans MT" w:hAnsi="Gill Sans MT"/>
            <w:noProof/>
            <w:webHidden/>
            <w:sz w:val="24"/>
            <w:szCs w:val="24"/>
          </w:rPr>
          <w:fldChar w:fldCharType="end"/>
        </w:r>
      </w:hyperlink>
    </w:p>
    <w:p w14:paraId="3CB7671E" w14:textId="77777777" w:rsidR="00E258FD" w:rsidRDefault="001372B9">
      <w:pPr>
        <w:pStyle w:val="TableofFigures"/>
        <w:tabs>
          <w:tab w:val="right" w:leader="dot" w:pos="9350"/>
        </w:tabs>
        <w:spacing w:before="0" w:beforeAutospacing="0" w:line="360" w:lineRule="auto"/>
        <w:rPr>
          <w:rFonts w:ascii="Gill Sans MT" w:eastAsia="DengXian" w:hAnsi="Gill Sans MT" w:cs="SimSun"/>
          <w:noProof/>
          <w:sz w:val="24"/>
          <w:szCs w:val="24"/>
        </w:rPr>
      </w:pPr>
      <w:hyperlink w:anchor="_Toc106370803" w:history="1">
        <w:r>
          <w:rPr>
            <w:rStyle w:val="Hyperlink"/>
            <w:rFonts w:ascii="Gill Sans MT" w:hAnsi="Gill Sans MT"/>
            <w:noProof/>
            <w:sz w:val="24"/>
            <w:szCs w:val="24"/>
          </w:rPr>
          <w:t>Figure 4: Schematic overview of the role of different actors in slum upgrading initiatives</w:t>
        </w:r>
        <w:r>
          <w:rPr>
            <w:rFonts w:ascii="Gill Sans MT" w:hAnsi="Gill Sans MT"/>
            <w:noProof/>
            <w:webHidden/>
            <w:sz w:val="24"/>
            <w:szCs w:val="24"/>
          </w:rPr>
          <w:tab/>
        </w:r>
        <w:r>
          <w:rPr>
            <w:rFonts w:ascii="Gill Sans MT" w:hAnsi="Gill Sans MT"/>
            <w:noProof/>
            <w:webHidden/>
            <w:sz w:val="24"/>
            <w:szCs w:val="24"/>
          </w:rPr>
          <w:fldChar w:fldCharType="begin"/>
        </w:r>
        <w:r>
          <w:rPr>
            <w:rFonts w:ascii="Gill Sans MT" w:hAnsi="Gill Sans MT"/>
            <w:noProof/>
            <w:webHidden/>
            <w:sz w:val="24"/>
            <w:szCs w:val="24"/>
          </w:rPr>
          <w:instrText xml:space="preserve"> PAGEREF _Toc106370803 \h </w:instrText>
        </w:r>
        <w:r>
          <w:rPr>
            <w:rFonts w:ascii="Gill Sans MT" w:hAnsi="Gill Sans MT"/>
            <w:noProof/>
            <w:webHidden/>
            <w:sz w:val="24"/>
            <w:szCs w:val="24"/>
          </w:rPr>
        </w:r>
        <w:r>
          <w:rPr>
            <w:rFonts w:ascii="Gill Sans MT" w:hAnsi="Gill Sans MT"/>
            <w:noProof/>
            <w:webHidden/>
            <w:sz w:val="24"/>
            <w:szCs w:val="24"/>
          </w:rPr>
          <w:fldChar w:fldCharType="separate"/>
        </w:r>
        <w:r>
          <w:rPr>
            <w:rFonts w:ascii="Gill Sans MT" w:hAnsi="Gill Sans MT"/>
            <w:noProof/>
            <w:webHidden/>
            <w:sz w:val="24"/>
            <w:szCs w:val="24"/>
          </w:rPr>
          <w:t>39</w:t>
        </w:r>
        <w:r>
          <w:rPr>
            <w:rFonts w:ascii="Gill Sans MT" w:hAnsi="Gill Sans MT"/>
            <w:noProof/>
            <w:webHidden/>
            <w:sz w:val="24"/>
            <w:szCs w:val="24"/>
          </w:rPr>
          <w:fldChar w:fldCharType="end"/>
        </w:r>
      </w:hyperlink>
    </w:p>
    <w:p w14:paraId="62FBBB7F" w14:textId="77777777" w:rsidR="00E258FD" w:rsidRDefault="001372B9">
      <w:pPr>
        <w:spacing w:before="0" w:beforeAutospacing="0" w:after="0" w:line="360" w:lineRule="auto"/>
        <w:jc w:val="both"/>
        <w:rPr>
          <w:rFonts w:ascii="Gill Sans MT" w:eastAsia="Calibri" w:hAnsi="Gill Sans MT"/>
          <w:sz w:val="24"/>
          <w:szCs w:val="24"/>
        </w:rPr>
      </w:pPr>
      <w:r>
        <w:rPr>
          <w:rFonts w:ascii="Gill Sans MT" w:eastAsia="Calibri" w:hAnsi="Gill Sans MT"/>
          <w:sz w:val="24"/>
          <w:szCs w:val="24"/>
        </w:rPr>
        <w:fldChar w:fldCharType="end"/>
      </w:r>
    </w:p>
    <w:p w14:paraId="6E54D505" w14:textId="77777777" w:rsidR="00E258FD" w:rsidRDefault="001372B9">
      <w:pPr>
        <w:spacing w:line="360" w:lineRule="auto"/>
        <w:rPr>
          <w:rFonts w:ascii="Gill Sans MT" w:eastAsia="Calibri" w:hAnsi="Gill Sans MT"/>
          <w:b/>
          <w:bCs/>
          <w:sz w:val="24"/>
          <w:szCs w:val="24"/>
        </w:rPr>
        <w:sectPr w:rsidR="00E258FD">
          <w:headerReference w:type="default" r:id="rId9"/>
          <w:footerReference w:type="default" r:id="rId10"/>
          <w:pgSz w:w="12240" w:h="15840"/>
          <w:pgMar w:top="1260" w:right="1440" w:bottom="1440" w:left="1440" w:header="720" w:footer="720" w:gutter="0"/>
          <w:pgNumType w:fmt="lowerRoman"/>
          <w:cols w:space="720"/>
          <w:docGrid w:linePitch="360"/>
        </w:sectPr>
      </w:pPr>
      <w:r>
        <w:rPr>
          <w:rFonts w:ascii="Gill Sans MT" w:eastAsia="Calibri" w:hAnsi="Gill Sans MT"/>
          <w:b/>
          <w:bCs/>
          <w:sz w:val="24"/>
          <w:szCs w:val="24"/>
        </w:rPr>
        <w:br w:type="page"/>
      </w:r>
    </w:p>
    <w:p w14:paraId="477D1182"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7" w:name="_Toc106369884"/>
      <w:r>
        <w:rPr>
          <w:rStyle w:val="BookTitle"/>
          <w:b/>
          <w:bCs w:val="0"/>
          <w:smallCaps w:val="0"/>
          <w:color w:val="0070C0"/>
          <w:spacing w:val="0"/>
          <w:sz w:val="28"/>
        </w:rPr>
        <w:lastRenderedPageBreak/>
        <w:t>CHAPTER ONE</w:t>
      </w:r>
      <w:bookmarkEnd w:id="7"/>
    </w:p>
    <w:p w14:paraId="24158943"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8" w:name="_Toc106369885"/>
      <w:r>
        <w:rPr>
          <w:rStyle w:val="BookTitle"/>
          <w:b/>
          <w:bCs w:val="0"/>
          <w:smallCaps w:val="0"/>
          <w:color w:val="0070C0"/>
          <w:spacing w:val="0"/>
          <w:sz w:val="28"/>
        </w:rPr>
        <w:t>CONTEXT OF INFORMAL SETTLEMENT UPGRADING &amp; PLANNING IN KENYA</w:t>
      </w:r>
      <w:bookmarkEnd w:id="8"/>
    </w:p>
    <w:p w14:paraId="693F8B6E" w14:textId="77777777" w:rsidR="00E258FD" w:rsidRDefault="00E258FD">
      <w:pPr>
        <w:autoSpaceDE w:val="0"/>
        <w:autoSpaceDN w:val="0"/>
        <w:adjustRightInd w:val="0"/>
        <w:spacing w:before="0" w:beforeAutospacing="0" w:after="0" w:line="360" w:lineRule="auto"/>
        <w:rPr>
          <w:rFonts w:ascii="Gill Sans MT" w:eastAsia="Calibri" w:hAnsi="Gill Sans MT"/>
          <w:bCs/>
          <w:sz w:val="24"/>
          <w:szCs w:val="24"/>
        </w:rPr>
      </w:pPr>
    </w:p>
    <w:p w14:paraId="45D4EEBA" w14:textId="77777777" w:rsidR="00E258FD" w:rsidRDefault="001372B9">
      <w:pPr>
        <w:pStyle w:val="Heading2"/>
        <w:spacing w:before="0" w:beforeAutospacing="0" w:line="360" w:lineRule="auto"/>
        <w:rPr>
          <w:rFonts w:ascii="Gill Sans MT" w:hAnsi="Gill Sans MT"/>
          <w:color w:val="0070C0"/>
        </w:rPr>
      </w:pPr>
      <w:bookmarkStart w:id="9" w:name="_Toc106369886"/>
      <w:r>
        <w:rPr>
          <w:rFonts w:ascii="Gill Sans MT" w:hAnsi="Gill Sans MT"/>
          <w:color w:val="0070C0"/>
        </w:rPr>
        <w:t xml:space="preserve">1.1 Kenya Urbanization Context: Rural-Urban migration and </w:t>
      </w:r>
      <w:r>
        <w:rPr>
          <w:rFonts w:ascii="Gill Sans MT" w:hAnsi="Gill Sans MT"/>
          <w:color w:val="0070C0"/>
        </w:rPr>
        <w:t>urbanization trends</w:t>
      </w:r>
      <w:bookmarkEnd w:id="9"/>
      <w:r>
        <w:rPr>
          <w:rFonts w:ascii="Gill Sans MT" w:hAnsi="Gill Sans MT"/>
          <w:color w:val="0070C0"/>
        </w:rPr>
        <w:t xml:space="preserve"> </w:t>
      </w:r>
    </w:p>
    <w:p w14:paraId="14D72167"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Rapid growth of urban populations remains one of the most critical attributes of African changes in modern times, eliciting both worry and opportunity almost in equal measure. Kenya, as many African states, has its population </w:t>
      </w:r>
      <w:r>
        <w:rPr>
          <w:rFonts w:ascii="Gill Sans MT" w:hAnsi="Gill Sans MT"/>
          <w:bCs/>
          <w:sz w:val="24"/>
          <w:szCs w:val="24"/>
        </w:rPr>
        <w:t>characterized by rapid urbanization and urban growth. By definition, urbanization is the process of growth in the urban proportion of a country’s entire population, rather than merely in the urban population per se</w:t>
      </w:r>
      <w:r>
        <w:rPr>
          <w:rStyle w:val="FootnoteReference"/>
          <w:rFonts w:ascii="Gill Sans MT" w:hAnsi="Gill Sans MT"/>
          <w:bCs/>
          <w:sz w:val="24"/>
          <w:szCs w:val="24"/>
        </w:rPr>
        <w:footnoteReference w:id="1"/>
      </w:r>
      <w:r>
        <w:rPr>
          <w:rFonts w:ascii="Gill Sans MT" w:hAnsi="Gill Sans MT"/>
          <w:bCs/>
          <w:sz w:val="24"/>
          <w:szCs w:val="24"/>
        </w:rPr>
        <w:t>. In a word, the appropriate measure of t</w:t>
      </w:r>
      <w:r>
        <w:rPr>
          <w:rFonts w:ascii="Gill Sans MT" w:hAnsi="Gill Sans MT"/>
          <w:bCs/>
          <w:sz w:val="24"/>
          <w:szCs w:val="24"/>
        </w:rPr>
        <w:t xml:space="preserve">he rate of urbanization is the difference between the growth rates of the urban population and the national population. </w:t>
      </w:r>
    </w:p>
    <w:p w14:paraId="1C291901"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FB0F1C2"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According to </w:t>
      </w:r>
      <w:r>
        <w:rPr>
          <w:rFonts w:ascii="Gill Sans MT" w:hAnsi="Gill Sans MT"/>
          <w:sz w:val="24"/>
          <w:szCs w:val="24"/>
        </w:rPr>
        <w:t>Ouma (2011</w:t>
      </w:r>
      <w:r>
        <w:rPr>
          <w:rFonts w:ascii="Gill Sans MT" w:hAnsi="Gill Sans MT"/>
          <w:bCs/>
          <w:sz w:val="24"/>
          <w:szCs w:val="24"/>
        </w:rPr>
        <w:t>), at high levels of urbanization the task of socio-economic development can become complicated and appropriate</w:t>
      </w:r>
      <w:r>
        <w:rPr>
          <w:rFonts w:ascii="Gill Sans MT" w:hAnsi="Gill Sans MT"/>
          <w:bCs/>
          <w:sz w:val="24"/>
          <w:szCs w:val="24"/>
        </w:rPr>
        <w:t xml:space="preserve"> national urbanization policies need to be implemented. Urban growth is the rate of growth of an urban population. In fact, more specifically, it is growth of urban areas or urban agglomerations. It is therefore different from urbanization but, as an econo</w:t>
      </w:r>
      <w:r>
        <w:rPr>
          <w:rFonts w:ascii="Gill Sans MT" w:hAnsi="Gill Sans MT"/>
          <w:bCs/>
          <w:sz w:val="24"/>
          <w:szCs w:val="24"/>
        </w:rPr>
        <w:t>mic phenomenon, it is inextricably linked with the process of urbanization</w:t>
      </w:r>
      <w:r>
        <w:rPr>
          <w:rStyle w:val="FootnoteReference"/>
          <w:rFonts w:ascii="Gill Sans MT" w:hAnsi="Gill Sans MT"/>
          <w:bCs/>
          <w:sz w:val="24"/>
          <w:szCs w:val="24"/>
        </w:rPr>
        <w:footnoteReference w:id="2"/>
      </w:r>
      <w:r>
        <w:rPr>
          <w:rFonts w:ascii="Gill Sans MT" w:hAnsi="Gill Sans MT"/>
          <w:bCs/>
          <w:sz w:val="24"/>
          <w:szCs w:val="24"/>
        </w:rPr>
        <w:t xml:space="preserve">. Further, </w:t>
      </w:r>
      <w:r>
        <w:rPr>
          <w:rFonts w:ascii="Gill Sans MT" w:hAnsi="Gill Sans MT"/>
          <w:sz w:val="24"/>
          <w:szCs w:val="24"/>
        </w:rPr>
        <w:t>Ouma (2011</w:t>
      </w:r>
      <w:r>
        <w:rPr>
          <w:rFonts w:ascii="Gill Sans MT" w:hAnsi="Gill Sans MT"/>
          <w:bCs/>
          <w:sz w:val="24"/>
          <w:szCs w:val="24"/>
        </w:rPr>
        <w:t>) holds that the pattern of concentration of economic activity and its evolution have been found to be an important determinant, and in some cases the result, o</w:t>
      </w:r>
      <w:r>
        <w:rPr>
          <w:rFonts w:ascii="Gill Sans MT" w:hAnsi="Gill Sans MT"/>
          <w:bCs/>
          <w:sz w:val="24"/>
          <w:szCs w:val="24"/>
        </w:rPr>
        <w:t>f urbanization, the structure of cities, the organisation of economic activity, and national economic growth</w:t>
      </w:r>
      <w:r>
        <w:rPr>
          <w:rStyle w:val="FootnoteReference"/>
          <w:rFonts w:ascii="Gill Sans MT" w:hAnsi="Gill Sans MT"/>
          <w:bCs/>
          <w:sz w:val="24"/>
          <w:szCs w:val="24"/>
        </w:rPr>
        <w:footnoteReference w:id="3"/>
      </w:r>
      <w:r>
        <w:rPr>
          <w:rFonts w:ascii="Gill Sans MT" w:hAnsi="Gill Sans MT"/>
          <w:bCs/>
          <w:sz w:val="24"/>
          <w:szCs w:val="24"/>
        </w:rPr>
        <w:t>. The size distribution of cities, for example, is the result of the patterns of urbanization, which result in city and urban growth and city/urban</w:t>
      </w:r>
      <w:r>
        <w:rPr>
          <w:rFonts w:ascii="Gill Sans MT" w:hAnsi="Gill Sans MT"/>
          <w:bCs/>
          <w:sz w:val="24"/>
          <w:szCs w:val="24"/>
        </w:rPr>
        <w:t xml:space="preserve"> area creation (</w:t>
      </w:r>
      <w:r>
        <w:rPr>
          <w:rFonts w:ascii="Gill Sans MT" w:hAnsi="Gill Sans MT"/>
          <w:sz w:val="24"/>
          <w:szCs w:val="24"/>
        </w:rPr>
        <w:t>Kempe, 2019</w:t>
      </w:r>
      <w:r>
        <w:rPr>
          <w:rFonts w:ascii="Gill Sans MT" w:hAnsi="Gill Sans MT"/>
          <w:bCs/>
          <w:sz w:val="24"/>
          <w:szCs w:val="24"/>
        </w:rPr>
        <w:t>).</w:t>
      </w:r>
    </w:p>
    <w:p w14:paraId="72379AB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5A37F07E"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lastRenderedPageBreak/>
        <w:t>Data suggests that over the past 40 years, East Africa alone has had an urban population increase from about 11.2 million to 77.2 million which is an urban proposition increase from 10% to 24% in the same period (</w:t>
      </w:r>
      <w:r>
        <w:rPr>
          <w:rFonts w:ascii="Gill Sans MT" w:hAnsi="Gill Sans MT"/>
          <w:sz w:val="24"/>
          <w:szCs w:val="24"/>
        </w:rPr>
        <w:t xml:space="preserve">Kempe, </w:t>
      </w:r>
      <w:r>
        <w:rPr>
          <w:rFonts w:ascii="Gill Sans MT" w:hAnsi="Gill Sans MT"/>
          <w:sz w:val="24"/>
          <w:szCs w:val="24"/>
        </w:rPr>
        <w:t>2019</w:t>
      </w:r>
      <w:r>
        <w:rPr>
          <w:rFonts w:ascii="Gill Sans MT" w:hAnsi="Gill Sans MT"/>
          <w:bCs/>
          <w:sz w:val="24"/>
          <w:szCs w:val="24"/>
        </w:rPr>
        <w:t>).  For Kenya, according to Kenya National Bureau of Statistics (KNBS) 2019, its total population increased from 10.9 million in 1969 to 47.6 million in 2019 which is an annual average inter-censal growth rate ranging from 2.9%–3.4%. Figure 1 below sho</w:t>
      </w:r>
      <w:r>
        <w:rPr>
          <w:rFonts w:ascii="Gill Sans MT" w:hAnsi="Gill Sans MT"/>
          <w:bCs/>
          <w:sz w:val="24"/>
          <w:szCs w:val="24"/>
        </w:rPr>
        <w:t>ws that the urban population as a proportion of the total population increased from 8.8% in 1960-70 to 20.9% in 2000–2010 and this is projected to exceed to 36% by 2030–2040; the annual average urban population growth rate from 1970-1980 was 7.9% and was e</w:t>
      </w:r>
      <w:r>
        <w:rPr>
          <w:rFonts w:ascii="Gill Sans MT" w:hAnsi="Gill Sans MT"/>
          <w:bCs/>
          <w:sz w:val="24"/>
          <w:szCs w:val="24"/>
        </w:rPr>
        <w:t>stimated to stand at 4% from 2010 to 2040. The average annual rate of change of the  urban  proportion (which is the average exponential rate of change of the percentage urban in a given period)  was 3.3% in 1960–1970 and is estimated to stand at  2% by 20</w:t>
      </w:r>
      <w:r>
        <w:rPr>
          <w:rFonts w:ascii="Gill Sans MT" w:hAnsi="Gill Sans MT"/>
          <w:bCs/>
          <w:sz w:val="24"/>
          <w:szCs w:val="24"/>
        </w:rPr>
        <w:t>40. These data indicate that one out of every five Kenyans currently live in urban areas compared to one out of twelve in the 1960s.</w:t>
      </w:r>
    </w:p>
    <w:p w14:paraId="2F11F5A7" w14:textId="77777777" w:rsidR="00E258FD" w:rsidRDefault="001372B9">
      <w:pPr>
        <w:pStyle w:val="Caption"/>
        <w:jc w:val="center"/>
        <w:rPr>
          <w:rFonts w:ascii="Gill Sans MT" w:hAnsi="Gill Sans MT"/>
          <w:b w:val="0"/>
          <w:bCs w:val="0"/>
          <w:color w:val="auto"/>
          <w:sz w:val="24"/>
          <w:szCs w:val="24"/>
        </w:rPr>
      </w:pPr>
      <w:bookmarkStart w:id="10" w:name="_Toc106370800"/>
      <w:r>
        <w:rPr>
          <w:rFonts w:ascii="Gill Sans MT" w:hAnsi="Gill Sans MT"/>
          <w:b w:val="0"/>
          <w:color w:val="auto"/>
          <w:sz w:val="24"/>
          <w:szCs w:val="24"/>
        </w:rPr>
        <w:t xml:space="preserve">Figure </w:t>
      </w:r>
      <w:r>
        <w:rPr>
          <w:rFonts w:ascii="Gill Sans MT" w:hAnsi="Gill Sans MT"/>
          <w:b w:val="0"/>
          <w:color w:val="auto"/>
          <w:sz w:val="24"/>
          <w:szCs w:val="24"/>
        </w:rPr>
        <w:fldChar w:fldCharType="begin"/>
      </w:r>
      <w:r>
        <w:rPr>
          <w:rFonts w:ascii="Gill Sans MT" w:hAnsi="Gill Sans MT"/>
          <w:b w:val="0"/>
          <w:color w:val="auto"/>
          <w:sz w:val="24"/>
          <w:szCs w:val="24"/>
        </w:rPr>
        <w:instrText xml:space="preserve"> SEQ Figure \* ARABIC </w:instrText>
      </w:r>
      <w:r>
        <w:rPr>
          <w:rFonts w:ascii="Gill Sans MT" w:hAnsi="Gill Sans MT"/>
          <w:b w:val="0"/>
          <w:color w:val="auto"/>
          <w:sz w:val="24"/>
          <w:szCs w:val="24"/>
        </w:rPr>
        <w:fldChar w:fldCharType="separate"/>
      </w:r>
      <w:r>
        <w:rPr>
          <w:rFonts w:ascii="Gill Sans MT" w:hAnsi="Gill Sans MT"/>
          <w:b w:val="0"/>
          <w:noProof/>
          <w:color w:val="auto"/>
          <w:sz w:val="24"/>
          <w:szCs w:val="24"/>
        </w:rPr>
        <w:t>1</w:t>
      </w:r>
      <w:r>
        <w:rPr>
          <w:rFonts w:ascii="Gill Sans MT" w:hAnsi="Gill Sans MT"/>
          <w:b w:val="0"/>
          <w:color w:val="auto"/>
          <w:sz w:val="24"/>
          <w:szCs w:val="24"/>
        </w:rPr>
        <w:fldChar w:fldCharType="end"/>
      </w:r>
      <w:r>
        <w:rPr>
          <w:rFonts w:ascii="Gill Sans MT" w:hAnsi="Gill Sans MT"/>
          <w:b w:val="0"/>
          <w:color w:val="auto"/>
          <w:sz w:val="24"/>
          <w:szCs w:val="24"/>
        </w:rPr>
        <w:t xml:space="preserve">: </w:t>
      </w:r>
      <w:r>
        <w:rPr>
          <w:rFonts w:ascii="Gill Sans MT" w:hAnsi="Gill Sans MT"/>
          <w:b w:val="0"/>
          <w:bCs w:val="0"/>
          <w:color w:val="auto"/>
          <w:sz w:val="24"/>
          <w:szCs w:val="24"/>
        </w:rPr>
        <w:t>Urban population trends and projection and average annual rate of change of the percenta</w:t>
      </w:r>
      <w:r>
        <w:rPr>
          <w:rFonts w:ascii="Gill Sans MT" w:hAnsi="Gill Sans MT"/>
          <w:b w:val="0"/>
          <w:bCs w:val="0"/>
          <w:color w:val="auto"/>
          <w:sz w:val="24"/>
          <w:szCs w:val="24"/>
        </w:rPr>
        <w:t>ge urban, 1960–2030</w:t>
      </w:r>
      <w:bookmarkEnd w:id="10"/>
    </w:p>
    <w:p w14:paraId="5F09E660" w14:textId="77777777" w:rsidR="00E258FD" w:rsidRDefault="001372B9">
      <w:pPr>
        <w:keepNext/>
        <w:autoSpaceDE w:val="0"/>
        <w:autoSpaceDN w:val="0"/>
        <w:adjustRightInd w:val="0"/>
        <w:spacing w:before="0" w:beforeAutospacing="0" w:after="0" w:line="360" w:lineRule="auto"/>
        <w:jc w:val="center"/>
      </w:pPr>
      <w:r>
        <w:rPr>
          <w:rFonts w:ascii="Gill Sans MT" w:hAnsi="Gill Sans MT"/>
          <w:noProof/>
        </w:rPr>
        <w:drawing>
          <wp:inline distT="0" distB="0" distL="0" distR="0" wp14:anchorId="593D040E" wp14:editId="14D1644E">
            <wp:extent cx="5943600" cy="2742565"/>
            <wp:effectExtent l="0" t="0" r="0" b="63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5943600" cy="2742565"/>
                    </a:xfrm>
                    <a:prstGeom prst="rect">
                      <a:avLst/>
                    </a:prstGeom>
                  </pic:spPr>
                </pic:pic>
              </a:graphicData>
            </a:graphic>
          </wp:inline>
        </w:drawing>
      </w:r>
    </w:p>
    <w:p w14:paraId="19D7E17F" w14:textId="77777777" w:rsidR="00E258FD" w:rsidRDefault="001372B9">
      <w:pPr>
        <w:autoSpaceDE w:val="0"/>
        <w:autoSpaceDN w:val="0"/>
        <w:adjustRightInd w:val="0"/>
        <w:spacing w:before="0" w:beforeAutospacing="0" w:after="0" w:line="360" w:lineRule="auto"/>
        <w:jc w:val="center"/>
        <w:rPr>
          <w:rFonts w:ascii="Gill Sans MT" w:hAnsi="Gill Sans MT"/>
          <w:bCs/>
          <w:sz w:val="24"/>
          <w:szCs w:val="24"/>
        </w:rPr>
      </w:pPr>
      <w:r>
        <w:rPr>
          <w:rFonts w:ascii="Gill Sans MT" w:hAnsi="Gill Sans MT"/>
          <w:bCs/>
          <w:sz w:val="24"/>
          <w:szCs w:val="24"/>
        </w:rPr>
        <w:t>Source: (</w:t>
      </w:r>
      <w:r>
        <w:rPr>
          <w:rFonts w:ascii="Gill Sans MT" w:hAnsi="Gill Sans MT"/>
          <w:sz w:val="24"/>
          <w:szCs w:val="24"/>
        </w:rPr>
        <w:t>Kempe, 2019</w:t>
      </w:r>
      <w:r>
        <w:rPr>
          <w:rFonts w:ascii="Gill Sans MT" w:hAnsi="Gill Sans MT"/>
          <w:bCs/>
          <w:sz w:val="24"/>
          <w:szCs w:val="24"/>
        </w:rPr>
        <w:t>)</w:t>
      </w:r>
    </w:p>
    <w:p w14:paraId="09F278D7" w14:textId="77777777" w:rsidR="00E258FD" w:rsidRDefault="001372B9">
      <w:pPr>
        <w:autoSpaceDE w:val="0"/>
        <w:autoSpaceDN w:val="0"/>
        <w:adjustRightInd w:val="0"/>
        <w:spacing w:before="0" w:beforeAutospacing="0" w:after="0" w:line="360" w:lineRule="auto"/>
        <w:jc w:val="center"/>
        <w:rPr>
          <w:rFonts w:ascii="Gill Sans MT" w:hAnsi="Gill Sans MT"/>
          <w:bCs/>
          <w:sz w:val="20"/>
          <w:szCs w:val="24"/>
        </w:rPr>
      </w:pPr>
      <w:r>
        <w:rPr>
          <w:rFonts w:ascii="Gill Sans MT" w:hAnsi="Gill Sans MT"/>
          <w:bCs/>
          <w:sz w:val="20"/>
          <w:szCs w:val="24"/>
        </w:rPr>
        <w:t>Notes: PU – Proportion urban (PU); AAGR – Average Annual Growth Rate; AARCPU - Average Annual Rate of Change of Proportion Urban</w:t>
      </w:r>
    </w:p>
    <w:p w14:paraId="36129052"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13766D2"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data in the above graph shows apparent discrepancy in the volume of the data b</w:t>
      </w:r>
      <w:r>
        <w:rPr>
          <w:rFonts w:ascii="Gill Sans MT" w:hAnsi="Gill Sans MT"/>
          <w:bCs/>
          <w:sz w:val="24"/>
          <w:szCs w:val="24"/>
        </w:rPr>
        <w:t xml:space="preserve">ased on national government census figures which reflects slightly higher figures in comparison to the </w:t>
      </w:r>
      <w:r>
        <w:rPr>
          <w:rFonts w:ascii="Gill Sans MT" w:hAnsi="Gill Sans MT"/>
          <w:bCs/>
          <w:sz w:val="24"/>
          <w:szCs w:val="24"/>
        </w:rPr>
        <w:lastRenderedPageBreak/>
        <w:t xml:space="preserve">UN’s World Urban Population database data used in the graph. An example of this discrepancy can be illustrated by the fact that the Kenyan census report </w:t>
      </w:r>
      <w:r>
        <w:rPr>
          <w:rFonts w:ascii="Gill Sans MT" w:hAnsi="Gill Sans MT"/>
          <w:bCs/>
          <w:sz w:val="24"/>
          <w:szCs w:val="24"/>
        </w:rPr>
        <w:t>for 2009 indicates that the urban population for the country at the time was 32.3% whereas the UN data placed that population at 21.9% (</w:t>
      </w:r>
      <w:r>
        <w:rPr>
          <w:rFonts w:ascii="Gill Sans MT" w:hAnsi="Gill Sans MT"/>
          <w:sz w:val="24"/>
          <w:szCs w:val="24"/>
        </w:rPr>
        <w:t>Kenya National Bureau of Statistics, 2019;</w:t>
      </w:r>
      <w:r>
        <w:rPr>
          <w:rFonts w:ascii="Gill Sans MT" w:hAnsi="Gill Sans MT"/>
          <w:bCs/>
          <w:sz w:val="24"/>
          <w:szCs w:val="24"/>
        </w:rPr>
        <w:t xml:space="preserve"> UNDESA, 2010). According to </w:t>
      </w:r>
      <w:r>
        <w:rPr>
          <w:rFonts w:ascii="Gill Sans MT" w:hAnsi="Gill Sans MT"/>
          <w:sz w:val="24"/>
          <w:szCs w:val="24"/>
        </w:rPr>
        <w:t>Kempe (2019</w:t>
      </w:r>
      <w:r>
        <w:rPr>
          <w:rFonts w:ascii="Gill Sans MT" w:hAnsi="Gill Sans MT"/>
          <w:bCs/>
          <w:sz w:val="24"/>
          <w:szCs w:val="24"/>
        </w:rPr>
        <w:t>), this discrepancy may have something</w:t>
      </w:r>
      <w:r>
        <w:rPr>
          <w:rFonts w:ascii="Gill Sans MT" w:hAnsi="Gill Sans MT"/>
          <w:bCs/>
          <w:sz w:val="24"/>
          <w:szCs w:val="24"/>
        </w:rPr>
        <w:t xml:space="preserve"> to do with how the UN defines urban classification as they relate to cities and towns where it only considers the population for the ‘urban core’ to ensure consistency with previous censuses in its calculations</w:t>
      </w:r>
      <w:r>
        <w:rPr>
          <w:rStyle w:val="FootnoteReference"/>
          <w:rFonts w:ascii="Gill Sans MT" w:hAnsi="Gill Sans MT"/>
          <w:bCs/>
          <w:sz w:val="24"/>
          <w:szCs w:val="24"/>
        </w:rPr>
        <w:footnoteReference w:id="4"/>
      </w:r>
      <w:r>
        <w:rPr>
          <w:rFonts w:ascii="Gill Sans MT" w:hAnsi="Gill Sans MT"/>
          <w:bCs/>
          <w:sz w:val="24"/>
          <w:szCs w:val="24"/>
        </w:rPr>
        <w:t xml:space="preserve">. </w:t>
      </w:r>
    </w:p>
    <w:p w14:paraId="45702F4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BD277FA"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What is important to note here however i</w:t>
      </w:r>
      <w:r>
        <w:rPr>
          <w:rFonts w:ascii="Gill Sans MT" w:hAnsi="Gill Sans MT"/>
          <w:bCs/>
          <w:sz w:val="24"/>
          <w:szCs w:val="24"/>
        </w:rPr>
        <w:t>s that, regardless of the source of this data, urbanization and urban growth in Kenya has been on the rise over the past few decades at a steadily increasing pace calling for the need  to formulate policies and strategies that appropriately respond  to sup</w:t>
      </w:r>
      <w:r>
        <w:rPr>
          <w:rFonts w:ascii="Gill Sans MT" w:hAnsi="Gill Sans MT"/>
          <w:bCs/>
          <w:sz w:val="24"/>
          <w:szCs w:val="24"/>
        </w:rPr>
        <w:t>porting urban communities.</w:t>
      </w:r>
    </w:p>
    <w:p w14:paraId="5451BE89"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5F076C67" w14:textId="77777777" w:rsidR="00E258FD" w:rsidRDefault="001372B9">
      <w:pPr>
        <w:pStyle w:val="Heading2"/>
        <w:spacing w:before="0" w:beforeAutospacing="0" w:line="360" w:lineRule="auto"/>
        <w:rPr>
          <w:rFonts w:ascii="Gill Sans MT" w:hAnsi="Gill Sans MT"/>
          <w:color w:val="0070C0"/>
        </w:rPr>
      </w:pPr>
      <w:bookmarkStart w:id="11" w:name="_Toc106369887"/>
      <w:r>
        <w:rPr>
          <w:rFonts w:ascii="Gill Sans MT" w:hAnsi="Gill Sans MT"/>
          <w:color w:val="0070C0"/>
        </w:rPr>
        <w:t>1.2 The quest for an inclusive City/Town</w:t>
      </w:r>
      <w:bookmarkEnd w:id="11"/>
    </w:p>
    <w:p w14:paraId="3AD69511"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rPr>
      </w:pPr>
    </w:p>
    <w:p w14:paraId="55218B5C"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rPr>
      </w:pPr>
      <w:r>
        <w:rPr>
          <w:rFonts w:ascii="Gill Sans MT" w:hAnsi="Gill Sans MT"/>
          <w:bCs/>
          <w:sz w:val="24"/>
          <w:szCs w:val="24"/>
        </w:rPr>
        <w:t xml:space="preserve">Slums are a permanent feature of Kenya’s urban development. Lines &amp; Makau (2018), suggest that 2% of Nairobi, is occupied by slums, and is home to half of the city’s </w:t>
      </w:r>
      <w:r>
        <w:rPr>
          <w:rFonts w:ascii="Gill Sans MT" w:hAnsi="Gill Sans MT"/>
          <w:bCs/>
          <w:sz w:val="24"/>
          <w:szCs w:val="24"/>
        </w:rPr>
        <w:t>population. While slum populations have doubled, the paper continues, the spaces they occupy remain constant just as the living conditions, services, infrastructure and tenure security</w:t>
      </w:r>
      <w:r>
        <w:rPr>
          <w:rStyle w:val="FootnoteReference"/>
          <w:rFonts w:ascii="Gill Sans MT" w:hAnsi="Gill Sans MT"/>
          <w:bCs/>
          <w:sz w:val="24"/>
          <w:szCs w:val="24"/>
        </w:rPr>
        <w:footnoteReference w:id="5"/>
      </w:r>
      <w:r>
        <w:rPr>
          <w:rFonts w:ascii="Gill Sans MT" w:hAnsi="Gill Sans MT"/>
          <w:bCs/>
          <w:sz w:val="24"/>
          <w:szCs w:val="24"/>
        </w:rPr>
        <w:t>. These remain spectacularly below par in comparison to the densificati</w:t>
      </w:r>
      <w:r>
        <w:rPr>
          <w:rFonts w:ascii="Gill Sans MT" w:hAnsi="Gill Sans MT"/>
          <w:bCs/>
          <w:sz w:val="24"/>
          <w:szCs w:val="24"/>
        </w:rPr>
        <w:t>on and consolidation. The authors track these averments over five critical timelines:</w:t>
      </w:r>
    </w:p>
    <w:p w14:paraId="02EC2EA1"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rPr>
      </w:pPr>
    </w:p>
    <w:p w14:paraId="39C580AC" w14:textId="77777777" w:rsidR="00E258FD" w:rsidRDefault="001372B9">
      <w:pPr>
        <w:pStyle w:val="Heading3"/>
        <w:spacing w:before="0" w:beforeAutospacing="0" w:line="360" w:lineRule="auto"/>
        <w:rPr>
          <w:rFonts w:ascii="Gill Sans MT" w:hAnsi="Gill Sans MT"/>
          <w:i/>
          <w:color w:val="538135"/>
          <w:sz w:val="24"/>
          <w:szCs w:val="24"/>
          <w:lang w:eastAsia="zh-CN"/>
        </w:rPr>
      </w:pPr>
      <w:bookmarkStart w:id="12" w:name="_Toc106369888"/>
      <w:r>
        <w:rPr>
          <w:rFonts w:ascii="Gill Sans MT" w:hAnsi="Gill Sans MT"/>
          <w:i/>
          <w:color w:val="538135"/>
          <w:sz w:val="24"/>
          <w:szCs w:val="24"/>
          <w:lang w:eastAsia="zh-CN"/>
        </w:rPr>
        <w:t>1.2.1 Time period of 1963 - 1996</w:t>
      </w:r>
      <w:bookmarkEnd w:id="12"/>
    </w:p>
    <w:p w14:paraId="68E62A70"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During this period Kenya’s urban spatial development was inequitable - itself a heritage of colonial and racially segregated legacy - visible through a residential pattern that shifted only in form of race during the period before independence to wealth an</w:t>
      </w:r>
      <w:r>
        <w:rPr>
          <w:rFonts w:ascii="Gill Sans MT" w:hAnsi="Gill Sans MT"/>
          <w:bCs/>
          <w:sz w:val="24"/>
          <w:szCs w:val="24"/>
          <w:lang w:eastAsia="zh-CN"/>
        </w:rPr>
        <w:t xml:space="preserve">d class post-independence. The persistence of this legacy led to emergence of slums, scarcity of affordable housing supply for low-income urban migrants, poor service provision; spontaneous, proliferation of unplanned </w:t>
      </w:r>
      <w:r>
        <w:rPr>
          <w:rFonts w:ascii="Gill Sans MT" w:hAnsi="Gill Sans MT"/>
          <w:bCs/>
          <w:sz w:val="24"/>
          <w:szCs w:val="24"/>
          <w:lang w:eastAsia="zh-CN"/>
        </w:rPr>
        <w:lastRenderedPageBreak/>
        <w:t>settlements on both unoccupied private</w:t>
      </w:r>
      <w:r>
        <w:rPr>
          <w:rFonts w:ascii="Gill Sans MT" w:hAnsi="Gill Sans MT"/>
          <w:bCs/>
          <w:sz w:val="24"/>
          <w:szCs w:val="24"/>
          <w:lang w:eastAsia="zh-CN"/>
        </w:rPr>
        <w:t xml:space="preserve"> and public land and widespread private landlordism. These marked the post-independence city growth due to a combination of factors. The factors included: 1) Autocratic leadership 2) Urban planning policies that entrenched a dual city whose European side w</w:t>
      </w:r>
      <w:r>
        <w:rPr>
          <w:rFonts w:ascii="Gill Sans MT" w:hAnsi="Gill Sans MT"/>
          <w:bCs/>
          <w:sz w:val="24"/>
          <w:szCs w:val="24"/>
          <w:lang w:eastAsia="zh-CN"/>
        </w:rPr>
        <w:t>as well planned and controlled while its African side was restricted, fragmented and neglected 3) The lifting of restrictions on Africans working and living in towns 4) The emergence of slumlords who “extracted profits out of trade in inadequate basic nece</w:t>
      </w:r>
      <w:r>
        <w:rPr>
          <w:rFonts w:ascii="Gill Sans MT" w:hAnsi="Gill Sans MT"/>
          <w:bCs/>
          <w:sz w:val="24"/>
          <w:szCs w:val="24"/>
          <w:lang w:eastAsia="zh-CN"/>
        </w:rPr>
        <w:t>ssities to the [majority] poor” tenants on land they do not own.</w:t>
      </w:r>
    </w:p>
    <w:p w14:paraId="60F7075E"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7FE28493" w14:textId="77777777" w:rsidR="00E258FD" w:rsidRDefault="001372B9">
      <w:pPr>
        <w:pStyle w:val="Heading3"/>
        <w:spacing w:before="0" w:beforeAutospacing="0" w:line="360" w:lineRule="auto"/>
        <w:rPr>
          <w:rFonts w:ascii="Gill Sans MT" w:hAnsi="Gill Sans MT"/>
          <w:i/>
          <w:color w:val="538135"/>
          <w:sz w:val="24"/>
          <w:szCs w:val="24"/>
          <w:lang w:eastAsia="zh-CN"/>
        </w:rPr>
      </w:pPr>
      <w:bookmarkStart w:id="13" w:name="_Toc106369889"/>
      <w:r>
        <w:rPr>
          <w:rFonts w:ascii="Gill Sans MT" w:hAnsi="Gill Sans MT"/>
          <w:i/>
          <w:color w:val="538135"/>
          <w:sz w:val="24"/>
          <w:szCs w:val="24"/>
          <w:lang w:eastAsia="zh-CN"/>
        </w:rPr>
        <w:t>1.2.2 Time period of 1996 - 2002</w:t>
      </w:r>
      <w:bookmarkEnd w:id="13"/>
    </w:p>
    <w:p w14:paraId="3004FD08"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 xml:space="preserve">Official policy of the Government of Kenya, the 2018 study affirms, at least “until the late 1970s, was to demolish informal settlements despite the lack of </w:t>
      </w:r>
      <w:r>
        <w:rPr>
          <w:rFonts w:ascii="Gill Sans MT" w:hAnsi="Gill Sans MT"/>
          <w:bCs/>
          <w:sz w:val="24"/>
          <w:szCs w:val="24"/>
          <w:lang w:eastAsia="zh-CN"/>
        </w:rPr>
        <w:t>alternatives for many.” Invisibility or lack of official recognition which was the official response by the state to informal settlements saw Kibera seated on 600 acres with a population of 270,000 in 1990 presented on city maps as a forest  and further sa</w:t>
      </w:r>
      <w:r>
        <w:rPr>
          <w:rFonts w:ascii="Gill Sans MT" w:hAnsi="Gill Sans MT"/>
          <w:bCs/>
          <w:sz w:val="24"/>
          <w:szCs w:val="24"/>
          <w:lang w:eastAsia="zh-CN"/>
        </w:rPr>
        <w:t xml:space="preserve">w  the 1990 brutal demolition of two large slums Muoroto and Kibagare that displaced 30,000 people when well-connected individuals acquired the parcels of land on which the settlements stood the ground truth notwithstanding. The introduction of multiparty </w:t>
      </w:r>
      <w:r>
        <w:rPr>
          <w:rFonts w:ascii="Gill Sans MT" w:hAnsi="Gill Sans MT"/>
          <w:bCs/>
          <w:sz w:val="24"/>
          <w:szCs w:val="24"/>
          <w:lang w:eastAsia="zh-CN"/>
        </w:rPr>
        <w:t>politics in 1992 saw a strong parliamentary opposition stand up to the ruling party that was using land as a weapon of transactional politics to reward political friends or punish political foes by depriving them of the same. It is during these watershed y</w:t>
      </w:r>
      <w:r>
        <w:rPr>
          <w:rFonts w:ascii="Gill Sans MT" w:hAnsi="Gill Sans MT"/>
          <w:bCs/>
          <w:sz w:val="24"/>
          <w:szCs w:val="24"/>
          <w:lang w:eastAsia="zh-CN"/>
        </w:rPr>
        <w:t>ears that communities in these settlements would rise to resist demolitions, prosecute cases in Court, hold demonstrations against evictions and rebuild demolished settlements. These efforts coming hot on the heels of Habitat II Conference in Istanbul  wer</w:t>
      </w:r>
      <w:r>
        <w:rPr>
          <w:rFonts w:ascii="Gill Sans MT" w:hAnsi="Gill Sans MT"/>
          <w:bCs/>
          <w:sz w:val="24"/>
          <w:szCs w:val="24"/>
          <w:lang w:eastAsia="zh-CN"/>
        </w:rPr>
        <w:t>e the results of the coming together of occupants of informal settlements and markets in Nairobi that would later be responsible for  a state moratorium on forced evictions at the end of 1997 that somewhat stymied forced evictions, though largely still ine</w:t>
      </w:r>
      <w:r>
        <w:rPr>
          <w:rFonts w:ascii="Gill Sans MT" w:hAnsi="Gill Sans MT"/>
          <w:bCs/>
          <w:sz w:val="24"/>
          <w:szCs w:val="24"/>
          <w:lang w:eastAsia="zh-CN"/>
        </w:rPr>
        <w:t xml:space="preserve">ffective. </w:t>
      </w:r>
    </w:p>
    <w:p w14:paraId="4A6BD8AC"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2664243D"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The birth of Muungano Wa Wanavijiji in 1996 would completely change the state attitude towards informal settlements when occupants organized themselves to resist forced evictions, secure their homes and businesses and protest state’s refusal to</w:t>
      </w:r>
      <w:r>
        <w:rPr>
          <w:rFonts w:ascii="Gill Sans MT" w:hAnsi="Gill Sans MT"/>
          <w:bCs/>
          <w:sz w:val="24"/>
          <w:szCs w:val="24"/>
          <w:lang w:eastAsia="zh-CN"/>
        </w:rPr>
        <w:t xml:space="preserve"> recognize slums and people living in them. Civil Society Organizations, human rights activists and some Catholic Priests through the support of the UN task force on Habitat were instrumental in the coordination of the work that </w:t>
      </w:r>
      <w:r>
        <w:rPr>
          <w:rFonts w:ascii="Gill Sans MT" w:hAnsi="Gill Sans MT"/>
          <w:bCs/>
          <w:sz w:val="24"/>
          <w:szCs w:val="24"/>
          <w:lang w:eastAsia="zh-CN"/>
        </w:rPr>
        <w:lastRenderedPageBreak/>
        <w:t xml:space="preserve">birthed the </w:t>
      </w:r>
      <w:r>
        <w:rPr>
          <w:rFonts w:ascii="Gill Sans MT" w:hAnsi="Gill Sans MT"/>
          <w:bCs/>
          <w:i/>
          <w:sz w:val="24"/>
          <w:szCs w:val="24"/>
          <w:lang w:eastAsia="zh-CN"/>
        </w:rPr>
        <w:t>Muungano Wa Wan</w:t>
      </w:r>
      <w:r>
        <w:rPr>
          <w:rFonts w:ascii="Gill Sans MT" w:hAnsi="Gill Sans MT"/>
          <w:bCs/>
          <w:i/>
          <w:sz w:val="24"/>
          <w:szCs w:val="24"/>
          <w:lang w:eastAsia="zh-CN"/>
        </w:rPr>
        <w:t>a Vijiji</w:t>
      </w:r>
      <w:r>
        <w:rPr>
          <w:rFonts w:ascii="Gill Sans MT" w:hAnsi="Gill Sans MT"/>
          <w:bCs/>
          <w:sz w:val="24"/>
          <w:szCs w:val="24"/>
          <w:lang w:eastAsia="zh-CN"/>
        </w:rPr>
        <w:t xml:space="preserve"> movement to resist forced demolitions, evictions and land grabbing in the country’s. The first significant state response to slums was the establishment of the  Nairobi Informal Settlements Coordination Committee (NISCC), in 1996; in whose organs </w:t>
      </w:r>
      <w:r>
        <w:rPr>
          <w:rFonts w:ascii="Gill Sans MT" w:hAnsi="Gill Sans MT"/>
          <w:bCs/>
          <w:sz w:val="24"/>
          <w:szCs w:val="24"/>
          <w:lang w:eastAsia="zh-CN"/>
        </w:rPr>
        <w:t>Pamoja Trust  was a member., the NISCC issued a moratorium on forced evictions of settlements (on public land). This led to the lighting of the candle in a UN Habitat Forum opened by His Excellency the Late Daniel Toroitich Arap Moi held at the Kasarani Sp</w:t>
      </w:r>
      <w:r>
        <w:rPr>
          <w:rFonts w:ascii="Gill Sans MT" w:hAnsi="Gill Sans MT"/>
          <w:bCs/>
          <w:sz w:val="24"/>
          <w:szCs w:val="24"/>
          <w:lang w:eastAsia="zh-CN"/>
        </w:rPr>
        <w:t>orts view.</w:t>
      </w:r>
    </w:p>
    <w:p w14:paraId="6ACF0542"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2309B1A9" w14:textId="77777777" w:rsidR="00E258FD" w:rsidRDefault="001372B9">
      <w:pPr>
        <w:pStyle w:val="Heading3"/>
        <w:spacing w:before="0" w:beforeAutospacing="0" w:line="360" w:lineRule="auto"/>
        <w:rPr>
          <w:rFonts w:ascii="Gill Sans MT" w:hAnsi="Gill Sans MT"/>
          <w:i/>
          <w:color w:val="538135"/>
          <w:sz w:val="24"/>
          <w:szCs w:val="24"/>
          <w:lang w:eastAsia="zh-CN"/>
        </w:rPr>
      </w:pPr>
      <w:bookmarkStart w:id="14" w:name="_Toc106369890"/>
      <w:r>
        <w:rPr>
          <w:rFonts w:ascii="Gill Sans MT" w:hAnsi="Gill Sans MT"/>
          <w:i/>
          <w:color w:val="538135"/>
          <w:sz w:val="24"/>
          <w:szCs w:val="24"/>
          <w:lang w:eastAsia="zh-CN"/>
        </w:rPr>
        <w:t>1.2.3 Time period of 2000 - 2006</w:t>
      </w:r>
      <w:bookmarkEnd w:id="14"/>
    </w:p>
    <w:p w14:paraId="45F15D76"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From a past that was very frosty, it was refreshing that; “Around 2000, the focus of both the movement and the state began to shift markedly, from slum clearance, towards seeking solutions to transform slums int</w:t>
      </w:r>
      <w:r>
        <w:rPr>
          <w:rFonts w:ascii="Gill Sans MT" w:hAnsi="Gill Sans MT"/>
          <w:bCs/>
          <w:sz w:val="24"/>
          <w:szCs w:val="24"/>
          <w:lang w:eastAsia="zh-CN"/>
        </w:rPr>
        <w:t>o decent settlements of low-cost housing by developing models and methodologies for financing and upgrading.” (Pamoja Trust Strategic Plan and Annual Report 2002). Muungano Wa Wanavijii  together with CSO Partners like Pamoja Trust signed a memorandum of U</w:t>
      </w:r>
      <w:r>
        <w:rPr>
          <w:rFonts w:ascii="Gill Sans MT" w:hAnsi="Gill Sans MT"/>
          <w:bCs/>
          <w:sz w:val="24"/>
          <w:szCs w:val="24"/>
          <w:lang w:eastAsia="zh-CN"/>
        </w:rPr>
        <w:t>nderstanding with the  then Nairobi City Council in 2001 to launch its first upgrading project in Huruma that was targeting 2500 households</w:t>
      </w:r>
      <w:r>
        <w:rPr>
          <w:rStyle w:val="FootnoteReference"/>
          <w:rFonts w:ascii="Gill Sans MT" w:hAnsi="Gill Sans MT"/>
          <w:bCs/>
          <w:sz w:val="24"/>
          <w:szCs w:val="24"/>
          <w:lang w:eastAsia="zh-CN"/>
        </w:rPr>
        <w:footnoteReference w:id="6"/>
      </w:r>
      <w:r>
        <w:rPr>
          <w:rFonts w:ascii="Gill Sans MT" w:hAnsi="Gill Sans MT"/>
          <w:bCs/>
          <w:sz w:val="24"/>
          <w:szCs w:val="24"/>
          <w:lang w:eastAsia="zh-CN"/>
        </w:rPr>
        <w:t>. The second project was commenced in 2004 in partnership with the Ministry of Transport Infrastructure and Urban De</w:t>
      </w:r>
      <w:r>
        <w:rPr>
          <w:rFonts w:ascii="Gill Sans MT" w:hAnsi="Gill Sans MT"/>
          <w:bCs/>
          <w:sz w:val="24"/>
          <w:szCs w:val="24"/>
          <w:lang w:eastAsia="zh-CN"/>
        </w:rPr>
        <w:t xml:space="preserve">velopment (MOTIHUD) and Pamoja Trust through Kenya Railways to develop and implement a World Bank-funded Relocation Action Plan (RAP) to respond to the need to clear the railway corridor. This project targeted </w:t>
      </w:r>
      <w:r>
        <w:rPr>
          <w:rFonts w:ascii="Gill Sans MT" w:hAnsi="Gill Sans MT"/>
          <w:bCs/>
          <w:sz w:val="24"/>
          <w:szCs w:val="24"/>
          <w:shd w:val="clear" w:color="auto" w:fill="FFFFFF"/>
          <w:lang w:eastAsia="zh-CN"/>
        </w:rPr>
        <w:t>500</w:t>
      </w:r>
      <w:r>
        <w:rPr>
          <w:rFonts w:ascii="Gill Sans MT" w:hAnsi="Gill Sans MT"/>
          <w:bCs/>
          <w:sz w:val="24"/>
          <w:szCs w:val="24"/>
          <w:lang w:eastAsia="zh-CN"/>
        </w:rPr>
        <w:t xml:space="preserve"> households living and operating businesses</w:t>
      </w:r>
      <w:r>
        <w:rPr>
          <w:rFonts w:ascii="Gill Sans MT" w:hAnsi="Gill Sans MT"/>
          <w:bCs/>
          <w:sz w:val="24"/>
          <w:szCs w:val="24"/>
          <w:lang w:eastAsia="zh-CN"/>
        </w:rPr>
        <w:t xml:space="preserve"> along the railway corridor of Kibera and Mukuru slums in Nairobi. The participatory implementation of the project began in 2013 with 7360  PAPS relocated to the new housing and business Units.</w:t>
      </w:r>
    </w:p>
    <w:p w14:paraId="579B5321"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7CD0FBF7"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Consequently, the Government would soon launch its first sign</w:t>
      </w:r>
      <w:r>
        <w:rPr>
          <w:rFonts w:ascii="Gill Sans MT" w:hAnsi="Gill Sans MT"/>
          <w:bCs/>
          <w:sz w:val="24"/>
          <w:szCs w:val="24"/>
          <w:lang w:eastAsia="zh-CN"/>
        </w:rPr>
        <w:t>ificant state-led initiative to provide solutions to informal settlements, the Kenya Slum Upgrading Programme (KENSUP), in 2002 at the first World Urban Forum, in Nairobi. KENSUP was a joint government–UN-Habitat initiative, the latter’s headquarters havin</w:t>
      </w:r>
      <w:r>
        <w:rPr>
          <w:rFonts w:ascii="Gill Sans MT" w:hAnsi="Gill Sans MT"/>
          <w:bCs/>
          <w:sz w:val="24"/>
          <w:szCs w:val="24"/>
          <w:lang w:eastAsia="zh-CN"/>
        </w:rPr>
        <w:t>g just moved to Nairobi, was to be piloted in Kibera. Later in 2003 Government made its first national budgetary allocation for slum upgrading two years after the establishment of Pamoja Trust an entity formed to consolidate support for the Muungano  Wa Wa</w:t>
      </w:r>
      <w:r>
        <w:rPr>
          <w:rFonts w:ascii="Gill Sans MT" w:hAnsi="Gill Sans MT"/>
          <w:bCs/>
          <w:sz w:val="24"/>
          <w:szCs w:val="24"/>
          <w:lang w:eastAsia="zh-CN"/>
        </w:rPr>
        <w:t xml:space="preserve">navijiji movement and explore partnership with the state both at national, and local levels, and with Universities and professional bodies such as Architectural Association of </w:t>
      </w:r>
      <w:r>
        <w:rPr>
          <w:rFonts w:ascii="Gill Sans MT" w:hAnsi="Gill Sans MT"/>
          <w:bCs/>
          <w:sz w:val="24"/>
          <w:szCs w:val="24"/>
          <w:lang w:eastAsia="zh-CN"/>
        </w:rPr>
        <w:lastRenderedPageBreak/>
        <w:t>Kenya as well as global slum dwellers movements to retool and position residents</w:t>
      </w:r>
      <w:r>
        <w:rPr>
          <w:rFonts w:ascii="Gill Sans MT" w:hAnsi="Gill Sans MT"/>
          <w:bCs/>
          <w:sz w:val="24"/>
          <w:szCs w:val="24"/>
          <w:lang w:eastAsia="zh-CN"/>
        </w:rPr>
        <w:t xml:space="preserve"> at the heart of planning and enumerations, savings, house modelling, co-production and financing of upgrading programs from a past that was predominantly protest-based.</w:t>
      </w:r>
    </w:p>
    <w:p w14:paraId="785F30E8"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76E42FFC"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 xml:space="preserve">In a bid to tilt the power balance in favor of the communities, the decision to </w:t>
      </w:r>
      <w:r>
        <w:rPr>
          <w:rFonts w:ascii="Gill Sans MT" w:hAnsi="Gill Sans MT"/>
          <w:bCs/>
          <w:sz w:val="24"/>
          <w:szCs w:val="24"/>
          <w:lang w:eastAsia="zh-CN"/>
        </w:rPr>
        <w:t>form savings schemes in each settlement and search for upgrading solutions while undertaking “self-enumeration” not only drew a broader membership of the informal settlement in to the process but also tilted the power balance in favor of the residents in t</w:t>
      </w:r>
      <w:r>
        <w:rPr>
          <w:rFonts w:ascii="Gill Sans MT" w:hAnsi="Gill Sans MT"/>
          <w:bCs/>
          <w:sz w:val="24"/>
          <w:szCs w:val="24"/>
          <w:lang w:eastAsia="zh-CN"/>
        </w:rPr>
        <w:t>he face of impending state regularization of informal land tenure. The first enumeration in Huruma convinced the city government that regularization was possible while the second enumeration in Korogocho exposed the polarities of informal settlement dynami</w:t>
      </w:r>
      <w:r>
        <w:rPr>
          <w:rFonts w:ascii="Gill Sans MT" w:hAnsi="Gill Sans MT"/>
          <w:bCs/>
          <w:sz w:val="24"/>
          <w:szCs w:val="24"/>
          <w:lang w:eastAsia="zh-CN"/>
        </w:rPr>
        <w:t>cs pitting tenants with structure owners. With the first Huruma houses built in 2003 Muungano begun its trek to other towns and cities to build on the work of settlement transformation. To date, the project is ongoing as the methodology adopted in the cons</w:t>
      </w:r>
      <w:r>
        <w:rPr>
          <w:rFonts w:ascii="Gill Sans MT" w:hAnsi="Gill Sans MT"/>
          <w:bCs/>
          <w:sz w:val="24"/>
          <w:szCs w:val="24"/>
          <w:lang w:eastAsia="zh-CN"/>
        </w:rPr>
        <w:t>truction is that of incremental development.</w:t>
      </w:r>
    </w:p>
    <w:p w14:paraId="2B11D28E"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65C75CBD" w14:textId="77777777" w:rsidR="00E258FD" w:rsidRDefault="001372B9">
      <w:pPr>
        <w:pStyle w:val="Heading3"/>
        <w:spacing w:before="0" w:beforeAutospacing="0" w:line="360" w:lineRule="auto"/>
        <w:rPr>
          <w:rFonts w:ascii="Gill Sans MT" w:hAnsi="Gill Sans MT"/>
          <w:i/>
          <w:color w:val="538135"/>
          <w:sz w:val="24"/>
          <w:szCs w:val="24"/>
          <w:lang w:eastAsia="zh-CN"/>
        </w:rPr>
      </w:pPr>
      <w:bookmarkStart w:id="15" w:name="_Toc106369891"/>
      <w:r>
        <w:rPr>
          <w:rFonts w:ascii="Gill Sans MT" w:hAnsi="Gill Sans MT"/>
          <w:i/>
          <w:color w:val="538135"/>
          <w:sz w:val="24"/>
          <w:szCs w:val="24"/>
          <w:lang w:eastAsia="zh-CN"/>
        </w:rPr>
        <w:t>1.2.4 Time period of 2005 – 2006</w:t>
      </w:r>
      <w:bookmarkEnd w:id="15"/>
    </w:p>
    <w:p w14:paraId="2C3D9F9E"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The power of self-help, possible in part because of the savings culture produced other strands of advocacy for better sanitation, water, drains, health, livelihoods etc.  “In 20</w:t>
      </w:r>
      <w:r>
        <w:rPr>
          <w:rFonts w:ascii="Gill Sans MT" w:hAnsi="Gill Sans MT"/>
          <w:bCs/>
          <w:sz w:val="24"/>
          <w:szCs w:val="24"/>
          <w:lang w:eastAsia="zh-CN"/>
        </w:rPr>
        <w:t>05, with the Akiba Mashinani Trust (AMT), a financial loaning mediation facility set up by Pamoja Trust to facilitate community access to housing, livelihood and services, Toi market savings scheme purchased land on Nairobi’s outskirts to build homes for o</w:t>
      </w:r>
      <w:r>
        <w:rPr>
          <w:rFonts w:ascii="Gill Sans MT" w:hAnsi="Gill Sans MT"/>
          <w:bCs/>
          <w:sz w:val="24"/>
          <w:szCs w:val="24"/>
          <w:lang w:eastAsia="zh-CN"/>
        </w:rPr>
        <w:t>ver 2,000 families.” With growing confidence in savings systems, mobilization, city-wide data collection, community-led planning and upgrading of infrastructure and housing, the Alliance took increasingly technical approaches to designing and financing hou</w:t>
      </w:r>
      <w:r>
        <w:rPr>
          <w:rFonts w:ascii="Gill Sans MT" w:hAnsi="Gill Sans MT"/>
          <w:bCs/>
          <w:sz w:val="24"/>
          <w:szCs w:val="24"/>
          <w:lang w:eastAsia="zh-CN"/>
        </w:rPr>
        <w:t>sing solutions in the slums. Between 2005 and 2006 Muungano enumerated all 44,000 slum households living in Kisumu, Kenya’s third largest city. Muungano was now present in Nairobi, Mombasa, Nakuru and Kisumu with nine regional networks and was actively cur</w:t>
      </w:r>
      <w:r>
        <w:rPr>
          <w:rFonts w:ascii="Gill Sans MT" w:hAnsi="Gill Sans MT"/>
          <w:bCs/>
          <w:sz w:val="24"/>
          <w:szCs w:val="24"/>
          <w:lang w:eastAsia="zh-CN"/>
        </w:rPr>
        <w:t>ating its evolving upgrading methodology.</w:t>
      </w:r>
    </w:p>
    <w:p w14:paraId="53214BE3"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3F6914FD" w14:textId="77777777" w:rsidR="00E258FD" w:rsidRDefault="001372B9">
      <w:pPr>
        <w:pStyle w:val="Heading3"/>
        <w:spacing w:before="0" w:beforeAutospacing="0" w:line="360" w:lineRule="auto"/>
        <w:rPr>
          <w:rFonts w:ascii="Gill Sans MT" w:hAnsi="Gill Sans MT"/>
          <w:i/>
          <w:color w:val="538135"/>
          <w:sz w:val="24"/>
          <w:szCs w:val="24"/>
          <w:lang w:eastAsia="zh-CN"/>
        </w:rPr>
      </w:pPr>
      <w:bookmarkStart w:id="16" w:name="_Toc106369892"/>
      <w:r>
        <w:rPr>
          <w:rFonts w:ascii="Gill Sans MT" w:hAnsi="Gill Sans MT"/>
          <w:i/>
          <w:color w:val="538135"/>
          <w:sz w:val="24"/>
          <w:szCs w:val="24"/>
          <w:lang w:eastAsia="zh-CN"/>
        </w:rPr>
        <w:t>1.2.5 Time period of 2009 - 2022</w:t>
      </w:r>
      <w:bookmarkEnd w:id="16"/>
    </w:p>
    <w:p w14:paraId="3D56F95D"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Kenya’s constitution adopted in 2010, promised to strengthen local accountability and public service delivery at local levels by mandating new public participation channels for com</w:t>
      </w:r>
      <w:r>
        <w:rPr>
          <w:rFonts w:ascii="Gill Sans MT" w:hAnsi="Gill Sans MT"/>
          <w:bCs/>
          <w:sz w:val="24"/>
          <w:szCs w:val="24"/>
          <w:lang w:eastAsia="zh-CN"/>
        </w:rPr>
        <w:t xml:space="preserve">munities to </w:t>
      </w:r>
      <w:r>
        <w:rPr>
          <w:rFonts w:ascii="Gill Sans MT" w:hAnsi="Gill Sans MT"/>
          <w:bCs/>
          <w:sz w:val="24"/>
          <w:szCs w:val="24"/>
          <w:lang w:eastAsia="zh-CN"/>
        </w:rPr>
        <w:lastRenderedPageBreak/>
        <w:t>engage county governments on development and civic issues. The Constitution aptly embraced social and economic rights of all citizens of Kenya, guaranteeing a just and fair nation where all enjoy equal rights to a reasonable quality of life, Sp</w:t>
      </w:r>
      <w:r>
        <w:rPr>
          <w:rFonts w:ascii="Gill Sans MT" w:hAnsi="Gill Sans MT"/>
          <w:bCs/>
          <w:sz w:val="24"/>
          <w:szCs w:val="24"/>
          <w:lang w:eastAsia="zh-CN"/>
        </w:rPr>
        <w:t xml:space="preserve">ecifically, the right to accessible and adequate housing explicitly guaranteed by the Constitution (Article 43(1) (B). In article 21 (2) the Constitution required the Government to take policy and other measures to achieve the realization of the rights to </w:t>
      </w:r>
      <w:r>
        <w:rPr>
          <w:rFonts w:ascii="Gill Sans MT" w:hAnsi="Gill Sans MT"/>
          <w:bCs/>
          <w:sz w:val="24"/>
          <w:szCs w:val="24"/>
          <w:lang w:eastAsia="zh-CN"/>
        </w:rPr>
        <w:t xml:space="preserve">housing. </w:t>
      </w:r>
    </w:p>
    <w:p w14:paraId="4CA93B41"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1352F79F"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During this phase the state launched two major informal settlements based initiatives, one was and  currently still is the Kenya Informal Settlements Improvement Project (KISIP), launched in 2011, this was a US$ 165 million project funded by the</w:t>
      </w:r>
      <w:r>
        <w:rPr>
          <w:rFonts w:ascii="Gill Sans MT" w:hAnsi="Gill Sans MT"/>
          <w:bCs/>
          <w:sz w:val="24"/>
          <w:szCs w:val="24"/>
          <w:lang w:eastAsia="zh-CN"/>
        </w:rPr>
        <w:t xml:space="preserve"> World Bank and bilateral donors, which aimed – with mixed success – to address informal settlements issues of infrastructure and tenure insecurity and the second was  a programme of slum improvements launched in 2014 by Kenya’s National Youth Service (NYS</w:t>
      </w:r>
      <w:r>
        <w:rPr>
          <w:rFonts w:ascii="Gill Sans MT" w:hAnsi="Gill Sans MT"/>
          <w:bCs/>
          <w:sz w:val="24"/>
          <w:szCs w:val="24"/>
          <w:lang w:eastAsia="zh-CN"/>
        </w:rPr>
        <w:t>) which employed  thousands of youths, mainly from the informal settlements  to clear garbage and undertake small infrastructure projects. The latter programme was however quickly bogged down by allegations of corruption.</w:t>
      </w:r>
    </w:p>
    <w:p w14:paraId="70F23B6B"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17DE5B9A"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In 2011 the Muungano Wa Wanavijij</w:t>
      </w:r>
      <w:r>
        <w:rPr>
          <w:rFonts w:ascii="Gill Sans MT" w:hAnsi="Gill Sans MT"/>
          <w:bCs/>
          <w:sz w:val="24"/>
          <w:szCs w:val="24"/>
          <w:lang w:eastAsia="zh-CN"/>
        </w:rPr>
        <w:t>i Alliance begun its shelter and land community mobilization and advocacy in Mukuru, a dense Nairobi people’s settlement  belt of over 300,000 people living on mostly privately owned land zoned for industrial use. The aim was to support residents to succes</w:t>
      </w:r>
      <w:r>
        <w:rPr>
          <w:rFonts w:ascii="Gill Sans MT" w:hAnsi="Gill Sans MT"/>
          <w:bCs/>
          <w:sz w:val="24"/>
          <w:szCs w:val="24"/>
          <w:lang w:eastAsia="zh-CN"/>
        </w:rPr>
        <w:t xml:space="preserve">sfully contest, with protest and through litigation, eviction notices threatening households across the slum as part of an international research consortium investigating and proposing solutions for regularizing of the informal settlements. Their portrait </w:t>
      </w:r>
      <w:r>
        <w:rPr>
          <w:rFonts w:ascii="Gill Sans MT" w:hAnsi="Gill Sans MT"/>
          <w:bCs/>
          <w:sz w:val="24"/>
          <w:szCs w:val="24"/>
          <w:lang w:eastAsia="zh-CN"/>
        </w:rPr>
        <w:t>of Mukuru revealed the “poverty penalty” faced by residents, who pay three–four times more for low-quality available services than the nearby wealthier areas that pay less for their far better service provision; and the complex, highly commercialized web o</w:t>
      </w:r>
      <w:r>
        <w:rPr>
          <w:rFonts w:ascii="Gill Sans MT" w:hAnsi="Gill Sans MT"/>
          <w:bCs/>
          <w:sz w:val="24"/>
          <w:szCs w:val="24"/>
          <w:lang w:eastAsia="zh-CN"/>
        </w:rPr>
        <w:t>f informal power and governance. The Nairobi City County government – which had already worked closely with Muungano in other places – responded positively to the research, and in 2017 declared Mukuru a “special planning area” (SPA). This effectively froze</w:t>
      </w:r>
      <w:r>
        <w:rPr>
          <w:rFonts w:ascii="Gill Sans MT" w:hAnsi="Gill Sans MT"/>
          <w:bCs/>
          <w:sz w:val="24"/>
          <w:szCs w:val="24"/>
          <w:lang w:eastAsia="zh-CN"/>
        </w:rPr>
        <w:t xml:space="preserve"> development there for two years, until an integrated development plan was produced by a coalition of actors (including the Muungano Alliance) working together to identify challenges and solutions</w:t>
      </w:r>
    </w:p>
    <w:p w14:paraId="486CF3CB"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16D18C37"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lastRenderedPageBreak/>
        <w:t>In 2017, the government of Kenya launched the Big 4 agenda</w:t>
      </w:r>
      <w:r>
        <w:rPr>
          <w:rFonts w:ascii="Gill Sans MT" w:hAnsi="Gill Sans MT"/>
          <w:bCs/>
          <w:sz w:val="24"/>
          <w:szCs w:val="24"/>
          <w:lang w:eastAsia="zh-CN"/>
        </w:rPr>
        <w:t xml:space="preserve"> that identified four priority initiatives to be implemented during 2018-2022 plan period. One of the four initiatives was affordable housing mainstreamed in the Third Medium Term Plan (2018-2022) (MTPIII). The idea was to provide affordable housing to the</w:t>
      </w:r>
      <w:r>
        <w:rPr>
          <w:rFonts w:ascii="Gill Sans MT" w:hAnsi="Gill Sans MT"/>
          <w:bCs/>
          <w:sz w:val="24"/>
          <w:szCs w:val="24"/>
          <w:lang w:eastAsia="zh-CN"/>
        </w:rPr>
        <w:t xml:space="preserve"> low-income segment of the population. By the first year of its launch, the National Treasury and Planning through the State Department for Planning also responsible for Monitoring and Evaluation reported that 462 units out of the targeted 7587 social hous</w:t>
      </w:r>
      <w:r>
        <w:rPr>
          <w:rFonts w:ascii="Gill Sans MT" w:hAnsi="Gill Sans MT"/>
          <w:bCs/>
          <w:sz w:val="24"/>
          <w:szCs w:val="24"/>
          <w:lang w:eastAsia="zh-CN"/>
        </w:rPr>
        <w:t>ing unit were constructed during the FY2018/19, explaining the deficit was experienced due to inadequacy in budget allocation and lack of private sector investment</w:t>
      </w:r>
      <w:r>
        <w:rPr>
          <w:rStyle w:val="FootnoteReference"/>
          <w:rFonts w:ascii="Gill Sans MT" w:hAnsi="Gill Sans MT"/>
          <w:bCs/>
          <w:sz w:val="24"/>
          <w:szCs w:val="24"/>
          <w:lang w:eastAsia="zh-CN"/>
        </w:rPr>
        <w:footnoteReference w:id="7"/>
      </w:r>
      <w:r>
        <w:rPr>
          <w:rFonts w:ascii="Gill Sans MT" w:hAnsi="Gill Sans MT"/>
          <w:bCs/>
          <w:sz w:val="24"/>
          <w:szCs w:val="24"/>
          <w:lang w:eastAsia="zh-CN"/>
        </w:rPr>
        <w:t>. Out of the 18 slums targeted for upgrading, 10 were upgraded with no accessible informatio</w:t>
      </w:r>
      <w:r>
        <w:rPr>
          <w:rFonts w:ascii="Gill Sans MT" w:hAnsi="Gill Sans MT"/>
          <w:bCs/>
          <w:sz w:val="24"/>
          <w:szCs w:val="24"/>
          <w:lang w:eastAsia="zh-CN"/>
        </w:rPr>
        <w:t xml:space="preserve">n in regards to details of the 10 slums. </w:t>
      </w:r>
    </w:p>
    <w:p w14:paraId="7FFCC8CF"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1FB09B32" w14:textId="77777777" w:rsidR="00E258FD" w:rsidRDefault="001372B9">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r>
        <w:rPr>
          <w:rFonts w:ascii="Gill Sans MT" w:hAnsi="Gill Sans MT"/>
          <w:bCs/>
          <w:sz w:val="24"/>
          <w:szCs w:val="24"/>
          <w:lang w:eastAsia="zh-CN"/>
        </w:rPr>
        <w:t xml:space="preserve">In 2016 the Ministry of Land, Housing and Urban Development developed a national slum Upgrading and prevention Policy, (Sessional Paper number 2 of March, 2016, to promote, secure and protect dignified lives </w:t>
      </w:r>
      <w:r>
        <w:rPr>
          <w:rFonts w:ascii="Gill Sans MT" w:hAnsi="Gill Sans MT"/>
          <w:bCs/>
          <w:sz w:val="24"/>
          <w:szCs w:val="24"/>
          <w:lang w:eastAsia="zh-CN"/>
        </w:rPr>
        <w:t>and livelihoods for  the poor and people living and working in slums by strategically integrating them into the social, political and economic framework in line with the Constitution. This was a step into a legislative framework to govern slum upgrading an</w:t>
      </w:r>
      <w:r>
        <w:rPr>
          <w:rFonts w:ascii="Gill Sans MT" w:hAnsi="Gill Sans MT"/>
          <w:bCs/>
          <w:sz w:val="24"/>
          <w:szCs w:val="24"/>
          <w:lang w:eastAsia="zh-CN"/>
        </w:rPr>
        <w:t>d prevention in Kenya.</w:t>
      </w:r>
    </w:p>
    <w:p w14:paraId="553E9984"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lang w:eastAsia="zh-CN"/>
        </w:rPr>
      </w:pPr>
    </w:p>
    <w:p w14:paraId="5D943A50"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lang w:eastAsia="zh-CN"/>
        </w:rPr>
        <w:t>In 2019, the Director of the Slum Upgrading Department constituted a Technical Committee comprising of members from the state department of housing, slum upgrading department, the Kenya Law Reform Commission, the Office of the Attor</w:t>
      </w:r>
      <w:r>
        <w:rPr>
          <w:rFonts w:ascii="Gill Sans MT" w:hAnsi="Gill Sans MT"/>
          <w:bCs/>
          <w:sz w:val="24"/>
          <w:szCs w:val="24"/>
          <w:lang w:eastAsia="zh-CN"/>
        </w:rPr>
        <w:t xml:space="preserve">ney General, civil society organizations (Haki Jamii and Pamoja Trust) and of the public (Muungano wa Wana Vijiji). Among the Terms of Reference of the Technical Committee was to develop the Slum Upgrading Bill, conduct public participation and submit the </w:t>
      </w:r>
      <w:r>
        <w:rPr>
          <w:rFonts w:ascii="Gill Sans MT" w:hAnsi="Gill Sans MT"/>
          <w:bCs/>
          <w:sz w:val="24"/>
          <w:szCs w:val="24"/>
          <w:lang w:eastAsia="zh-CN"/>
        </w:rPr>
        <w:t>reports and draft Bill to the Cabinet Secretary for onward transmission to the Office of the Attorney General. The Technical Committee successfully developed the Bill, based on the National Slum Upgrading and Prevention Policy, Sessional Paper No. 2 of Mar</w:t>
      </w:r>
      <w:r>
        <w:rPr>
          <w:rFonts w:ascii="Gill Sans MT" w:hAnsi="Gill Sans MT"/>
          <w:bCs/>
          <w:sz w:val="24"/>
          <w:szCs w:val="24"/>
          <w:lang w:eastAsia="zh-CN"/>
        </w:rPr>
        <w:t>ch, 2016, conducted public participation across all the 47 counties. The Bill envisaged a shared vision for better and more sustainable urban areas and provided</w:t>
      </w:r>
      <w:r>
        <w:rPr>
          <w:rFonts w:ascii="Gill Sans MT" w:hAnsi="Gill Sans MT"/>
          <w:bCs/>
          <w:sz w:val="24"/>
          <w:szCs w:val="24"/>
        </w:rPr>
        <w:t xml:space="preserve"> a regulatory and institutional framework to enforce the implementation of the National Slum Upg</w:t>
      </w:r>
      <w:r>
        <w:rPr>
          <w:rFonts w:ascii="Gill Sans MT" w:hAnsi="Gill Sans MT"/>
          <w:bCs/>
          <w:sz w:val="24"/>
          <w:szCs w:val="24"/>
        </w:rPr>
        <w:t xml:space="preserve">rading and Prevention Policy, 2016. This was on the understanding that slum upgrading and prevention is </w:t>
      </w:r>
      <w:r>
        <w:rPr>
          <w:rFonts w:ascii="Gill Sans MT" w:hAnsi="Gill Sans MT"/>
          <w:bCs/>
          <w:sz w:val="24"/>
          <w:szCs w:val="24"/>
        </w:rPr>
        <w:lastRenderedPageBreak/>
        <w:t>not only about housing but focuses on improving socio-economic livelihoods of the persons living and working in mostly marginalized and unstable urban e</w:t>
      </w:r>
      <w:r>
        <w:rPr>
          <w:rFonts w:ascii="Gill Sans MT" w:hAnsi="Gill Sans MT"/>
          <w:bCs/>
          <w:sz w:val="24"/>
          <w:szCs w:val="24"/>
        </w:rPr>
        <w:t xml:space="preserve">nvironments. </w:t>
      </w:r>
    </w:p>
    <w:p w14:paraId="1A8DF558" w14:textId="77777777" w:rsidR="00E258FD" w:rsidRDefault="00E258FD">
      <w:pPr>
        <w:pStyle w:val="ListParagraph"/>
        <w:autoSpaceDE w:val="0"/>
        <w:autoSpaceDN w:val="0"/>
        <w:adjustRightInd w:val="0"/>
        <w:spacing w:before="0" w:beforeAutospacing="0" w:after="0" w:line="360" w:lineRule="auto"/>
        <w:ind w:left="0"/>
        <w:jc w:val="both"/>
        <w:rPr>
          <w:rFonts w:ascii="Gill Sans MT" w:hAnsi="Gill Sans MT"/>
          <w:bCs/>
          <w:sz w:val="24"/>
          <w:szCs w:val="24"/>
        </w:rPr>
      </w:pPr>
    </w:p>
    <w:p w14:paraId="5309E21F" w14:textId="77777777" w:rsidR="00E258FD" w:rsidRDefault="001372B9">
      <w:pPr>
        <w:pStyle w:val="Heading2"/>
        <w:spacing w:before="0" w:beforeAutospacing="0" w:line="360" w:lineRule="auto"/>
        <w:rPr>
          <w:rFonts w:ascii="Gill Sans MT" w:hAnsi="Gill Sans MT"/>
          <w:color w:val="0070C0"/>
        </w:rPr>
      </w:pPr>
      <w:bookmarkStart w:id="17" w:name="_Toc106369893"/>
      <w:r>
        <w:rPr>
          <w:rFonts w:ascii="Gill Sans MT" w:hAnsi="Gill Sans MT"/>
          <w:color w:val="0070C0"/>
        </w:rPr>
        <w:t>1.3 Overview of Upgrading Interventions (why, where and what are they)</w:t>
      </w:r>
      <w:bookmarkEnd w:id="17"/>
    </w:p>
    <w:p w14:paraId="3D349F18"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Slum upgrading initiatives are processes that require deliberate efforts and planning to realize. According to </w:t>
      </w:r>
      <w:r>
        <w:rPr>
          <w:rFonts w:ascii="Gill Sans MT" w:hAnsi="Gill Sans MT"/>
          <w:sz w:val="24"/>
          <w:szCs w:val="24"/>
        </w:rPr>
        <w:t>Gikonyo (2012</w:t>
      </w:r>
      <w:r>
        <w:rPr>
          <w:rFonts w:ascii="Gill Sans MT" w:hAnsi="Gill Sans MT"/>
          <w:bCs/>
          <w:sz w:val="24"/>
          <w:szCs w:val="24"/>
        </w:rPr>
        <w:t>), from an operational point of view, slum upg</w:t>
      </w:r>
      <w:r>
        <w:rPr>
          <w:rFonts w:ascii="Gill Sans MT" w:hAnsi="Gill Sans MT"/>
          <w:bCs/>
          <w:sz w:val="24"/>
          <w:szCs w:val="24"/>
        </w:rPr>
        <w:t>rading requires the establishment of an institutional and organizational setting through which the following key purposes can be achieved:</w:t>
      </w:r>
    </w:p>
    <w:p w14:paraId="26C841C6" w14:textId="77777777" w:rsidR="00E258FD" w:rsidRDefault="001372B9">
      <w:pPr>
        <w:numPr>
          <w:ilvl w:val="0"/>
          <w:numId w:val="3"/>
        </w:numPr>
        <w:tabs>
          <w:tab w:val="clear" w:pos="425"/>
        </w:tabs>
        <w:autoSpaceDE w:val="0"/>
        <w:autoSpaceDN w:val="0"/>
        <w:adjustRightInd w:val="0"/>
        <w:spacing w:before="0" w:beforeAutospacing="0" w:after="0" w:line="360" w:lineRule="auto"/>
        <w:ind w:leftChars="100" w:left="659" w:hangingChars="183" w:hanging="439"/>
        <w:jc w:val="both"/>
        <w:rPr>
          <w:rFonts w:ascii="Gill Sans MT" w:hAnsi="Gill Sans MT"/>
          <w:bCs/>
          <w:sz w:val="24"/>
          <w:szCs w:val="24"/>
        </w:rPr>
      </w:pPr>
      <w:r>
        <w:rPr>
          <w:rFonts w:ascii="Gill Sans MT" w:hAnsi="Gill Sans MT"/>
          <w:bCs/>
          <w:sz w:val="24"/>
          <w:szCs w:val="24"/>
        </w:rPr>
        <w:t xml:space="preserve">The participation of the target groups can be facilitated; </w:t>
      </w:r>
    </w:p>
    <w:p w14:paraId="6B900B8A" w14:textId="77777777" w:rsidR="00E258FD" w:rsidRDefault="001372B9">
      <w:pPr>
        <w:numPr>
          <w:ilvl w:val="0"/>
          <w:numId w:val="3"/>
        </w:numPr>
        <w:tabs>
          <w:tab w:val="clear" w:pos="425"/>
        </w:tabs>
        <w:spacing w:before="0" w:beforeAutospacing="0" w:after="0" w:line="360" w:lineRule="auto"/>
        <w:ind w:leftChars="100" w:left="659" w:hangingChars="183" w:hanging="439"/>
        <w:rPr>
          <w:rFonts w:ascii="Gill Sans MT" w:hAnsi="Gill Sans MT"/>
          <w:bCs/>
          <w:sz w:val="24"/>
          <w:szCs w:val="24"/>
        </w:rPr>
      </w:pPr>
      <w:r>
        <w:rPr>
          <w:rFonts w:ascii="Gill Sans MT" w:hAnsi="Gill Sans MT"/>
          <w:bCs/>
          <w:sz w:val="24"/>
          <w:szCs w:val="24"/>
        </w:rPr>
        <w:t>The partnerships between public, private and community st</w:t>
      </w:r>
      <w:r>
        <w:rPr>
          <w:rFonts w:ascii="Gill Sans MT" w:hAnsi="Gill Sans MT"/>
          <w:bCs/>
          <w:sz w:val="24"/>
          <w:szCs w:val="24"/>
        </w:rPr>
        <w:t>akeholders can be realized;</w:t>
      </w:r>
    </w:p>
    <w:p w14:paraId="10179955" w14:textId="77777777" w:rsidR="00E258FD" w:rsidRDefault="001372B9">
      <w:pPr>
        <w:numPr>
          <w:ilvl w:val="0"/>
          <w:numId w:val="3"/>
        </w:numPr>
        <w:tabs>
          <w:tab w:val="clear" w:pos="425"/>
        </w:tabs>
        <w:spacing w:before="0" w:beforeAutospacing="0" w:after="0" w:line="360" w:lineRule="auto"/>
        <w:ind w:leftChars="100" w:left="659" w:hangingChars="183" w:hanging="439"/>
        <w:rPr>
          <w:rFonts w:ascii="Gill Sans MT" w:hAnsi="Gill Sans MT"/>
          <w:bCs/>
          <w:sz w:val="24"/>
          <w:szCs w:val="24"/>
        </w:rPr>
      </w:pPr>
      <w:r>
        <w:rPr>
          <w:rFonts w:ascii="Gill Sans MT" w:hAnsi="Gill Sans MT"/>
          <w:bCs/>
          <w:sz w:val="24"/>
          <w:szCs w:val="24"/>
        </w:rPr>
        <w:t xml:space="preserve">Financial resources can be mobilized and allocated on a sustained basis; </w:t>
      </w:r>
    </w:p>
    <w:p w14:paraId="74621071" w14:textId="77777777" w:rsidR="00E258FD" w:rsidRDefault="001372B9">
      <w:pPr>
        <w:numPr>
          <w:ilvl w:val="0"/>
          <w:numId w:val="3"/>
        </w:numPr>
        <w:tabs>
          <w:tab w:val="clear" w:pos="425"/>
        </w:tabs>
        <w:spacing w:before="0" w:beforeAutospacing="0" w:after="0" w:line="360" w:lineRule="auto"/>
        <w:ind w:leftChars="100" w:left="659" w:hangingChars="183" w:hanging="439"/>
        <w:rPr>
          <w:rFonts w:ascii="Gill Sans MT" w:hAnsi="Gill Sans MT"/>
          <w:bCs/>
          <w:sz w:val="24"/>
          <w:szCs w:val="24"/>
        </w:rPr>
      </w:pPr>
      <w:r>
        <w:rPr>
          <w:rFonts w:ascii="Gill Sans MT" w:hAnsi="Gill Sans MT"/>
          <w:bCs/>
          <w:sz w:val="24"/>
          <w:szCs w:val="24"/>
        </w:rPr>
        <w:t>Local implementation capacities can be strengthened and the coordination, planning and management of programs and projects can be organized.</w:t>
      </w:r>
    </w:p>
    <w:p w14:paraId="711DB29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B59284B"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Basic infras</w:t>
      </w:r>
      <w:r>
        <w:rPr>
          <w:rFonts w:ascii="Gill Sans MT" w:hAnsi="Gill Sans MT"/>
          <w:bCs/>
          <w:sz w:val="24"/>
          <w:szCs w:val="24"/>
        </w:rPr>
        <w:t>tructure including water and sanitation are critical attributes of slum upgrading which should then be followed by reduction of the cost of infrastructure which can be achieved by integrated housing infrastructure development to make urban housing affordab</w:t>
      </w:r>
      <w:r>
        <w:rPr>
          <w:rFonts w:ascii="Gill Sans MT" w:hAnsi="Gill Sans MT"/>
          <w:bCs/>
          <w:sz w:val="24"/>
          <w:szCs w:val="24"/>
        </w:rPr>
        <w:t>le for the urban poor. Further, basic infrastructure interventions may be considered to constitute three phases as follows</w:t>
      </w:r>
      <w:r>
        <w:rPr>
          <w:rStyle w:val="FootnoteReference"/>
          <w:rFonts w:ascii="Gill Sans MT" w:hAnsi="Gill Sans MT"/>
          <w:bCs/>
          <w:sz w:val="24"/>
          <w:szCs w:val="24"/>
        </w:rPr>
        <w:footnoteReference w:id="8"/>
      </w:r>
      <w:r>
        <w:rPr>
          <w:rFonts w:ascii="Gill Sans MT" w:hAnsi="Gill Sans MT"/>
          <w:bCs/>
          <w:sz w:val="24"/>
          <w:szCs w:val="24"/>
        </w:rPr>
        <w:t xml:space="preserve">: </w:t>
      </w:r>
    </w:p>
    <w:p w14:paraId="466B8C3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6EE8142" w14:textId="77777777" w:rsidR="00E258FD" w:rsidRDefault="001372B9">
      <w:pPr>
        <w:pStyle w:val="ListParagraph"/>
        <w:numPr>
          <w:ilvl w:val="0"/>
          <w:numId w:val="4"/>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Phase 1</w:t>
      </w:r>
      <w:r>
        <w:rPr>
          <w:rFonts w:ascii="Gill Sans MT" w:hAnsi="Gill Sans MT"/>
          <w:bCs/>
          <w:sz w:val="24"/>
          <w:szCs w:val="24"/>
        </w:rPr>
        <w:t xml:space="preserve"> – physical infrastructure improvements in the targeted areas linked to income generation for the dwellers. This can then be reinforced by pro-poor governance strategies to give confidence for participating communities.</w:t>
      </w:r>
    </w:p>
    <w:p w14:paraId="26E176B4" w14:textId="77777777" w:rsidR="00E258FD" w:rsidRDefault="001372B9">
      <w:pPr>
        <w:pStyle w:val="ListParagraph"/>
        <w:numPr>
          <w:ilvl w:val="0"/>
          <w:numId w:val="4"/>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Phase 2</w:t>
      </w:r>
      <w:r>
        <w:rPr>
          <w:rFonts w:ascii="Gill Sans MT" w:hAnsi="Gill Sans MT"/>
          <w:bCs/>
          <w:sz w:val="24"/>
          <w:szCs w:val="24"/>
        </w:rPr>
        <w:t xml:space="preserve"> – refining governance struct</w:t>
      </w:r>
      <w:r>
        <w:rPr>
          <w:rFonts w:ascii="Gill Sans MT" w:hAnsi="Gill Sans MT"/>
          <w:bCs/>
          <w:sz w:val="24"/>
          <w:szCs w:val="24"/>
        </w:rPr>
        <w:t>ures within the areas targeted in a way that stimulates investment from different sources in the slum upgrading intervention</w:t>
      </w:r>
    </w:p>
    <w:p w14:paraId="329393EF" w14:textId="77777777" w:rsidR="00E258FD" w:rsidRDefault="001372B9">
      <w:pPr>
        <w:pStyle w:val="ListParagraph"/>
        <w:numPr>
          <w:ilvl w:val="0"/>
          <w:numId w:val="4"/>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Phase 3</w:t>
      </w:r>
      <w:r>
        <w:rPr>
          <w:rFonts w:ascii="Gill Sans MT" w:hAnsi="Gill Sans MT"/>
          <w:bCs/>
          <w:sz w:val="24"/>
          <w:szCs w:val="24"/>
        </w:rPr>
        <w:t xml:space="preserve"> – full scale replication and scaling up of the selected communities for greater cross-learning and sharing of experiences a</w:t>
      </w:r>
      <w:r>
        <w:rPr>
          <w:rFonts w:ascii="Gill Sans MT" w:hAnsi="Gill Sans MT"/>
          <w:bCs/>
          <w:sz w:val="24"/>
          <w:szCs w:val="24"/>
        </w:rPr>
        <w:t xml:space="preserve">cross different areas leading towards sustainable growth and development of slum areas. </w:t>
      </w:r>
    </w:p>
    <w:p w14:paraId="629F08A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A1C87F4"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other important perspective of slum upgrading interventions is the issue of land ownership. According to </w:t>
      </w:r>
      <w:r>
        <w:rPr>
          <w:rFonts w:ascii="Gill Sans MT" w:hAnsi="Gill Sans MT"/>
          <w:sz w:val="24"/>
          <w:szCs w:val="24"/>
        </w:rPr>
        <w:t>Gikonyo (2012</w:t>
      </w:r>
      <w:r>
        <w:rPr>
          <w:rFonts w:ascii="Gill Sans MT" w:hAnsi="Gill Sans MT"/>
          <w:bCs/>
          <w:sz w:val="24"/>
          <w:szCs w:val="24"/>
        </w:rPr>
        <w:t>), land ownership is a critical challenge th</w:t>
      </w:r>
      <w:r>
        <w:rPr>
          <w:rFonts w:ascii="Gill Sans MT" w:hAnsi="Gill Sans MT"/>
          <w:bCs/>
          <w:sz w:val="24"/>
          <w:szCs w:val="24"/>
        </w:rPr>
        <w:t xml:space="preserve">at the urban poor face across different jurisdictions beyond Kenya. </w:t>
      </w:r>
      <w:r>
        <w:rPr>
          <w:rFonts w:ascii="Gill Sans MT" w:hAnsi="Gill Sans MT"/>
          <w:sz w:val="24"/>
          <w:szCs w:val="24"/>
        </w:rPr>
        <w:t>Gikonyo (2012</w:t>
      </w:r>
      <w:r>
        <w:rPr>
          <w:rFonts w:ascii="Gill Sans MT" w:hAnsi="Gill Sans MT"/>
          <w:bCs/>
          <w:sz w:val="24"/>
          <w:szCs w:val="24"/>
        </w:rPr>
        <w:t>) further indicates that security of tenure is critical in the integration of the urban poor as it provides them with recognition by public authorities as owners of property u</w:t>
      </w:r>
      <w:r>
        <w:rPr>
          <w:rFonts w:ascii="Gill Sans MT" w:hAnsi="Gill Sans MT"/>
          <w:bCs/>
          <w:sz w:val="24"/>
          <w:szCs w:val="24"/>
        </w:rPr>
        <w:t>nder their care</w:t>
      </w:r>
      <w:r>
        <w:rPr>
          <w:rStyle w:val="FootnoteReference"/>
          <w:rFonts w:ascii="Gill Sans MT" w:hAnsi="Gill Sans MT"/>
          <w:bCs/>
          <w:sz w:val="24"/>
          <w:szCs w:val="24"/>
        </w:rPr>
        <w:footnoteReference w:id="9"/>
      </w:r>
      <w:r>
        <w:rPr>
          <w:rFonts w:ascii="Gill Sans MT" w:hAnsi="Gill Sans MT"/>
          <w:bCs/>
          <w:sz w:val="24"/>
          <w:szCs w:val="24"/>
        </w:rPr>
        <w:t>. This further encourages urban families to invest in upgrading the plots where they live and diversifying how they use them for self-sustenance.  The corollary of these benefits of security of tenure is that the urban poor then feel protec</w:t>
      </w:r>
      <w:r>
        <w:rPr>
          <w:rFonts w:ascii="Gill Sans MT" w:hAnsi="Gill Sans MT"/>
          <w:bCs/>
          <w:sz w:val="24"/>
          <w:szCs w:val="24"/>
        </w:rPr>
        <w:t>ted against the threats of possible evictions providing them with assets with which they can use as leverage in capital markets including working as securities to bank loans for personal and corporate development</w:t>
      </w:r>
      <w:r>
        <w:rPr>
          <w:rStyle w:val="FootnoteReference"/>
          <w:rFonts w:ascii="Gill Sans MT" w:hAnsi="Gill Sans MT"/>
          <w:bCs/>
          <w:sz w:val="24"/>
          <w:szCs w:val="24"/>
        </w:rPr>
        <w:footnoteReference w:id="10"/>
      </w:r>
      <w:r>
        <w:rPr>
          <w:rFonts w:ascii="Gill Sans MT" w:hAnsi="Gill Sans MT"/>
          <w:bCs/>
          <w:sz w:val="24"/>
          <w:szCs w:val="24"/>
        </w:rPr>
        <w:t>.</w:t>
      </w:r>
    </w:p>
    <w:p w14:paraId="03984A7A"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 </w:t>
      </w:r>
    </w:p>
    <w:p w14:paraId="046DCB98"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Another important attribute of slum upg</w:t>
      </w:r>
      <w:r>
        <w:rPr>
          <w:rFonts w:ascii="Gill Sans MT" w:hAnsi="Gill Sans MT"/>
          <w:bCs/>
          <w:sz w:val="24"/>
          <w:szCs w:val="24"/>
        </w:rPr>
        <w:t xml:space="preserve">rading is that of skill acquisition training and support where communities should be supported and trained in practices such as construction and accreditation of the already existing or acquired skills on artisanry water supply, sanitation and solid waste </w:t>
      </w:r>
      <w:r>
        <w:rPr>
          <w:rFonts w:ascii="Gill Sans MT" w:hAnsi="Gill Sans MT"/>
          <w:bCs/>
          <w:sz w:val="24"/>
          <w:szCs w:val="24"/>
        </w:rPr>
        <w:t>management which lies at the core of slum upgrading (</w:t>
      </w:r>
      <w:r>
        <w:rPr>
          <w:rFonts w:ascii="Gill Sans MT" w:hAnsi="Gill Sans MT"/>
          <w:sz w:val="24"/>
          <w:szCs w:val="24"/>
        </w:rPr>
        <w:t>Gikonyo, 2012</w:t>
      </w:r>
      <w:r>
        <w:rPr>
          <w:rFonts w:ascii="Gill Sans MT" w:hAnsi="Gill Sans MT"/>
          <w:bCs/>
          <w:sz w:val="24"/>
          <w:szCs w:val="24"/>
        </w:rPr>
        <w:t>). This is important since this kind of training enables them reduce the cost of construction as well as supports them to become self-reliant in certain things such as production of affordab</w:t>
      </w:r>
      <w:r>
        <w:rPr>
          <w:rFonts w:ascii="Gill Sans MT" w:hAnsi="Gill Sans MT"/>
          <w:bCs/>
          <w:sz w:val="24"/>
          <w:szCs w:val="24"/>
        </w:rPr>
        <w:t>le building materials, and water resources within their localities. This also helps them to be empowered in a way that they are able to participate in the construction of services and infrastructure within their communities. Community members can also be s</w:t>
      </w:r>
      <w:r>
        <w:rPr>
          <w:rFonts w:ascii="Gill Sans MT" w:hAnsi="Gill Sans MT"/>
          <w:bCs/>
          <w:sz w:val="24"/>
          <w:szCs w:val="24"/>
        </w:rPr>
        <w:t xml:space="preserve">upported to generate designs for their houses and spaces and develop their business plans towards setting up small-scale enterprises. The ultimate aim of the training is to empower community members to start up income </w:t>
      </w:r>
      <w:r>
        <w:rPr>
          <w:rFonts w:ascii="Gill Sans MT" w:hAnsi="Gill Sans MT"/>
          <w:bCs/>
          <w:sz w:val="24"/>
          <w:szCs w:val="24"/>
        </w:rPr>
        <w:lastRenderedPageBreak/>
        <w:t>generation activities hence improve th</w:t>
      </w:r>
      <w:r>
        <w:rPr>
          <w:rFonts w:ascii="Gill Sans MT" w:hAnsi="Gill Sans MT"/>
          <w:bCs/>
          <w:sz w:val="24"/>
          <w:szCs w:val="24"/>
        </w:rPr>
        <w:t>eir livelihoods or invest in improved housing, which is an essential part of the holistic approach to slum upgrading</w:t>
      </w:r>
      <w:r>
        <w:rPr>
          <w:rStyle w:val="FootnoteReference"/>
          <w:rFonts w:ascii="Gill Sans MT" w:hAnsi="Gill Sans MT"/>
          <w:bCs/>
          <w:sz w:val="24"/>
          <w:szCs w:val="24"/>
        </w:rPr>
        <w:footnoteReference w:id="11"/>
      </w:r>
      <w:r>
        <w:rPr>
          <w:rFonts w:ascii="Gill Sans MT" w:hAnsi="Gill Sans MT"/>
          <w:bCs/>
          <w:sz w:val="24"/>
          <w:szCs w:val="24"/>
        </w:rPr>
        <w:t>.</w:t>
      </w:r>
    </w:p>
    <w:p w14:paraId="03282C3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734CA9E" w14:textId="77777777" w:rsidR="00E258FD" w:rsidRDefault="001372B9">
      <w:pPr>
        <w:pStyle w:val="Heading2"/>
        <w:spacing w:before="0" w:beforeAutospacing="0" w:line="360" w:lineRule="auto"/>
        <w:rPr>
          <w:rFonts w:ascii="Gill Sans MT" w:hAnsi="Gill Sans MT"/>
          <w:color w:val="0070C0"/>
        </w:rPr>
      </w:pPr>
      <w:bookmarkStart w:id="18" w:name="_Toc106369894"/>
      <w:r>
        <w:rPr>
          <w:rFonts w:ascii="Gill Sans MT" w:hAnsi="Gill Sans MT"/>
          <w:color w:val="0070C0"/>
        </w:rPr>
        <w:t>1.4 Some Examples (Status, practices, obstacles)</w:t>
      </w:r>
      <w:bookmarkEnd w:id="18"/>
    </w:p>
    <w:p w14:paraId="7F4DCF50"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7171E94"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Any assessment or review of slum upgrading programme should be able to ascertain wheth</w:t>
      </w:r>
      <w:r>
        <w:rPr>
          <w:rFonts w:ascii="Gill Sans MT" w:hAnsi="Gill Sans MT"/>
          <w:bCs/>
          <w:sz w:val="24"/>
          <w:szCs w:val="24"/>
        </w:rPr>
        <w:t>er, the slum upgrading [actually leads to] improved access of slum communities to basic physical and social infrastructure, economic opportunities, tenure rights, information and institutions focusing on the poor. [The resulting] slum improvement [should i</w:t>
      </w:r>
      <w:r>
        <w:rPr>
          <w:rFonts w:ascii="Gill Sans MT" w:hAnsi="Gill Sans MT"/>
          <w:bCs/>
          <w:sz w:val="24"/>
          <w:szCs w:val="24"/>
        </w:rPr>
        <w:t>deally be] achieved with the active involvement of slum communities during the conception, planning, implementation, monitoring and management process, and through contribution of part of their own resources required for development, operation and maintena</w:t>
      </w:r>
      <w:r>
        <w:rPr>
          <w:rFonts w:ascii="Gill Sans MT" w:hAnsi="Gill Sans MT"/>
          <w:bCs/>
          <w:sz w:val="24"/>
          <w:szCs w:val="24"/>
        </w:rPr>
        <w:t>nce as Ndukui writes</w:t>
      </w:r>
      <w:r>
        <w:rPr>
          <w:rStyle w:val="FootnoteReference"/>
          <w:rFonts w:ascii="Gill Sans MT" w:hAnsi="Gill Sans MT"/>
          <w:bCs/>
          <w:sz w:val="24"/>
          <w:szCs w:val="24"/>
        </w:rPr>
        <w:footnoteReference w:id="12"/>
      </w:r>
      <w:r>
        <w:rPr>
          <w:rFonts w:ascii="Gill Sans MT" w:hAnsi="Gill Sans MT"/>
          <w:bCs/>
          <w:sz w:val="24"/>
          <w:szCs w:val="24"/>
        </w:rPr>
        <w:t>. The upgrading should cause minimal displacement and involve securing of land tenure, rehabilitation of existing housing structures, development of housing where necessary, planning and provision of social and physical infrastructure,</w:t>
      </w:r>
      <w:r>
        <w:rPr>
          <w:rFonts w:ascii="Gill Sans MT" w:hAnsi="Gill Sans MT"/>
          <w:bCs/>
          <w:sz w:val="24"/>
          <w:szCs w:val="24"/>
        </w:rPr>
        <w:t xml:space="preserve"> and improving livelihoods through income generating activities (</w:t>
      </w:r>
      <w:r>
        <w:rPr>
          <w:rFonts w:ascii="Gill Sans MT" w:hAnsi="Gill Sans MT"/>
          <w:sz w:val="24"/>
          <w:szCs w:val="24"/>
        </w:rPr>
        <w:t>Plessis, 2015</w:t>
      </w:r>
      <w:r>
        <w:rPr>
          <w:rFonts w:ascii="Gill Sans MT" w:hAnsi="Gill Sans MT"/>
          <w:bCs/>
          <w:sz w:val="24"/>
          <w:szCs w:val="24"/>
        </w:rPr>
        <w:t>).</w:t>
      </w:r>
    </w:p>
    <w:p w14:paraId="7CFD10F8"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380E7F1"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Based on </w:t>
      </w:r>
      <w:r>
        <w:rPr>
          <w:rFonts w:ascii="Gill Sans MT" w:hAnsi="Gill Sans MT"/>
          <w:bCs/>
          <w:i/>
          <w:sz w:val="24"/>
          <w:szCs w:val="24"/>
        </w:rPr>
        <w:t>United Nations Economics and Social Commission for Asia and the Pacific</w:t>
      </w:r>
      <w:r>
        <w:rPr>
          <w:rFonts w:ascii="Gill Sans MT" w:hAnsi="Gill Sans MT"/>
          <w:bCs/>
          <w:sz w:val="24"/>
          <w:szCs w:val="24"/>
        </w:rPr>
        <w:t>, Shelter for All, slum upgrading can play an important role in improving existing housing sto</w:t>
      </w:r>
      <w:r>
        <w:rPr>
          <w:rFonts w:ascii="Gill Sans MT" w:hAnsi="Gill Sans MT"/>
          <w:bCs/>
          <w:sz w:val="24"/>
          <w:szCs w:val="24"/>
        </w:rPr>
        <w:t xml:space="preserve">ck and ensuring that complete reliance is not placed upon new investment in low-income housing. In this regard, upgrading can be critical in improving tenure security and providing alternatives to evictions. However, this is not easy. </w:t>
      </w:r>
      <w:r>
        <w:rPr>
          <w:rFonts w:ascii="Gill Sans MT" w:hAnsi="Gill Sans MT"/>
          <w:sz w:val="24"/>
          <w:szCs w:val="24"/>
        </w:rPr>
        <w:t xml:space="preserve">Plessis (2015) </w:t>
      </w:r>
      <w:r>
        <w:rPr>
          <w:rFonts w:ascii="Gill Sans MT" w:hAnsi="Gill Sans MT"/>
          <w:bCs/>
          <w:sz w:val="24"/>
          <w:szCs w:val="24"/>
        </w:rPr>
        <w:t>premis</w:t>
      </w:r>
      <w:r>
        <w:rPr>
          <w:rFonts w:ascii="Gill Sans MT" w:hAnsi="Gill Sans MT"/>
          <w:bCs/>
          <w:sz w:val="24"/>
          <w:szCs w:val="24"/>
        </w:rPr>
        <w:t>es that emphasis should be placed on careful design and management of slum upgrading initiatives with particular focus on affordability, community involvement, and protection of slum dwellers from evictions and violence</w:t>
      </w:r>
      <w:r>
        <w:rPr>
          <w:rStyle w:val="FootnoteReference"/>
          <w:rFonts w:ascii="Gill Sans MT" w:hAnsi="Gill Sans MT"/>
          <w:bCs/>
          <w:sz w:val="24"/>
          <w:szCs w:val="24"/>
        </w:rPr>
        <w:footnoteReference w:id="13"/>
      </w:r>
      <w:r>
        <w:rPr>
          <w:rFonts w:ascii="Gill Sans MT" w:hAnsi="Gill Sans MT"/>
          <w:bCs/>
          <w:sz w:val="24"/>
          <w:szCs w:val="24"/>
        </w:rPr>
        <w:t xml:space="preserve">. According to the </w:t>
      </w:r>
      <w:r>
        <w:rPr>
          <w:rFonts w:ascii="Gill Sans MT" w:hAnsi="Gill Sans MT"/>
          <w:bCs/>
          <w:i/>
          <w:sz w:val="24"/>
          <w:szCs w:val="24"/>
        </w:rPr>
        <w:t>Centre for Housin</w:t>
      </w:r>
      <w:r>
        <w:rPr>
          <w:rFonts w:ascii="Gill Sans MT" w:hAnsi="Gill Sans MT"/>
          <w:bCs/>
          <w:i/>
          <w:sz w:val="24"/>
          <w:szCs w:val="24"/>
        </w:rPr>
        <w:t>g Rights and Eviction</w:t>
      </w:r>
      <w:r>
        <w:rPr>
          <w:rFonts w:ascii="Gill Sans MT" w:hAnsi="Gill Sans MT"/>
          <w:bCs/>
          <w:sz w:val="24"/>
          <w:szCs w:val="24"/>
        </w:rPr>
        <w:t xml:space="preserve"> (COHRE), slum upgrading also requires huge resources, plus long-term political will and stamina to see the process through in spite of the setbacks, dissatisfaction and conflicts that will, inevitably, occur along the way. In this dau</w:t>
      </w:r>
      <w:r>
        <w:rPr>
          <w:rFonts w:ascii="Gill Sans MT" w:hAnsi="Gill Sans MT"/>
          <w:bCs/>
          <w:sz w:val="24"/>
          <w:szCs w:val="24"/>
        </w:rPr>
        <w:t xml:space="preserve">nting </w:t>
      </w:r>
      <w:r>
        <w:rPr>
          <w:rFonts w:ascii="Gill Sans MT" w:hAnsi="Gill Sans MT"/>
          <w:bCs/>
          <w:sz w:val="24"/>
          <w:szCs w:val="24"/>
        </w:rPr>
        <w:lastRenderedPageBreak/>
        <w:t>context, it is to the immense credit of the Government and its development partners that slum upgrading features prominently in Kenya's recent housing policy</w:t>
      </w:r>
      <w:r>
        <w:rPr>
          <w:rStyle w:val="FootnoteReference"/>
          <w:rFonts w:ascii="Gill Sans MT" w:hAnsi="Gill Sans MT"/>
          <w:bCs/>
          <w:sz w:val="24"/>
          <w:szCs w:val="24"/>
        </w:rPr>
        <w:footnoteReference w:id="14"/>
      </w:r>
      <w:r>
        <w:rPr>
          <w:rFonts w:ascii="Gill Sans MT" w:hAnsi="Gill Sans MT"/>
          <w:bCs/>
          <w:sz w:val="24"/>
          <w:szCs w:val="24"/>
        </w:rPr>
        <w:t>.</w:t>
      </w:r>
    </w:p>
    <w:p w14:paraId="534EC71D"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0399714"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From as early as 2001 when  Pamoja Trust supported   the residents of  six Huruma Village</w:t>
      </w:r>
      <w:r>
        <w:rPr>
          <w:rFonts w:ascii="Gill Sans MT" w:hAnsi="Gill Sans MT"/>
          <w:bCs/>
          <w:sz w:val="24"/>
          <w:szCs w:val="24"/>
        </w:rPr>
        <w:t>s through the federation of slum Dwellers Muungano Wa Wanavijiji to launch the upgrading of 2500 households in Huruma in partnership with the Nairobi City Council to the commencement of the state programme KENSUP piloted in Kibera with support from UN Habi</w:t>
      </w:r>
      <w:r>
        <w:rPr>
          <w:rFonts w:ascii="Gill Sans MT" w:hAnsi="Gill Sans MT"/>
          <w:bCs/>
          <w:sz w:val="24"/>
          <w:szCs w:val="24"/>
        </w:rPr>
        <w:t>tat in 2002, to the Railway Relocation Programme that targeted 11,000 households in partnership with the Kenya Railways and the Government through, The ministry Of Transport Infrastructure and Urban Development  from the support of the World Bank in 2004 t</w:t>
      </w:r>
      <w:r>
        <w:rPr>
          <w:rFonts w:ascii="Gill Sans MT" w:hAnsi="Gill Sans MT"/>
          <w:bCs/>
          <w:sz w:val="24"/>
          <w:szCs w:val="24"/>
        </w:rPr>
        <w:t>o 2018, to the tune of $165 million KISIP programme in 2011, Kenya has consistently moved from a history of ambivalence to informal settlements to one in which the President has declared affordable shelter  as one of its four priorities for social and econ</w:t>
      </w:r>
      <w:r>
        <w:rPr>
          <w:rFonts w:ascii="Gill Sans MT" w:hAnsi="Gill Sans MT"/>
          <w:bCs/>
          <w:sz w:val="24"/>
          <w:szCs w:val="24"/>
        </w:rPr>
        <w:t>omic transformation in 2017. On the heels of the President’s announcement the Nairobi City County government announced the establishment of the Mukuru Special Development Area (SPA) in partnership with Muungano Alliance and other academic actors cited else</w:t>
      </w:r>
      <w:r>
        <w:rPr>
          <w:rFonts w:ascii="Gill Sans MT" w:hAnsi="Gill Sans MT"/>
          <w:bCs/>
          <w:sz w:val="24"/>
          <w:szCs w:val="24"/>
        </w:rPr>
        <w:t>where in this report.</w:t>
      </w:r>
    </w:p>
    <w:p w14:paraId="0C659131"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F7FBDBF" w14:textId="77777777" w:rsidR="00E258FD" w:rsidRDefault="001372B9">
      <w:pPr>
        <w:pStyle w:val="Heading2"/>
        <w:spacing w:before="0" w:beforeAutospacing="0" w:line="360" w:lineRule="auto"/>
        <w:rPr>
          <w:rFonts w:ascii="Gill Sans MT" w:hAnsi="Gill Sans MT"/>
          <w:color w:val="0070C0"/>
        </w:rPr>
      </w:pPr>
      <w:bookmarkStart w:id="19" w:name="_Toc106369895"/>
      <w:r>
        <w:rPr>
          <w:rFonts w:ascii="Gill Sans MT" w:hAnsi="Gill Sans MT"/>
          <w:color w:val="0070C0"/>
        </w:rPr>
        <w:t>1.5 Evolving Policy and Regulatory frameworks for informal settlement upgrading and prevention</w:t>
      </w:r>
      <w:bookmarkEnd w:id="19"/>
    </w:p>
    <w:p w14:paraId="529F2406"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consistent evolution of slum upgrading highlighted in the preceding paragraph from what was essentially ambivalence on the part of the</w:t>
      </w:r>
      <w:r>
        <w:rPr>
          <w:rFonts w:ascii="Gill Sans MT" w:hAnsi="Gill Sans MT"/>
          <w:bCs/>
          <w:sz w:val="24"/>
          <w:szCs w:val="24"/>
        </w:rPr>
        <w:t xml:space="preserve"> government to a complete state programme has generated a very concrete jurisprudence whose letter is also constantly evolving to also replace what was largely happening in the context of a policy vacuum. What this study finds compelling is the fact that i</w:t>
      </w:r>
      <w:r>
        <w:rPr>
          <w:rFonts w:ascii="Gill Sans MT" w:hAnsi="Gill Sans MT"/>
          <w:bCs/>
          <w:sz w:val="24"/>
          <w:szCs w:val="24"/>
        </w:rPr>
        <w:t>nformal settlement upgrading and prevention is now articulated in the Country’s legal, regulatory and institutional frameworks not as a footnote but as an integral part of the Country’s legal development. Let us examine a few:</w:t>
      </w:r>
    </w:p>
    <w:p w14:paraId="3E35D9A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2EB2BCA"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lastRenderedPageBreak/>
        <w:t>National Land Policy, 2009</w:t>
      </w:r>
      <w:r>
        <w:rPr>
          <w:rFonts w:ascii="Gill Sans MT" w:hAnsi="Gill Sans MT"/>
          <w:bCs/>
          <w:sz w:val="24"/>
          <w:szCs w:val="24"/>
        </w:rPr>
        <w:t xml:space="preserve"> –</w:t>
      </w:r>
      <w:r>
        <w:rPr>
          <w:rFonts w:ascii="Gill Sans MT" w:hAnsi="Gill Sans MT"/>
          <w:bCs/>
          <w:sz w:val="24"/>
          <w:szCs w:val="24"/>
        </w:rPr>
        <w:t xml:space="preserve"> The NLP passed one year before the promulgation of the Constitution explains informal settlements as </w:t>
      </w:r>
      <w:r>
        <w:rPr>
          <w:rFonts w:ascii="Gill Sans MT" w:hAnsi="Gill Sans MT"/>
          <w:bCs/>
          <w:i/>
          <w:sz w:val="24"/>
          <w:szCs w:val="24"/>
        </w:rPr>
        <w:t>occupation of land without formal recognition that do not comply with the physical and land use planning due to absence of security of tenure</w:t>
      </w:r>
      <w:r>
        <w:rPr>
          <w:rFonts w:ascii="Gill Sans MT" w:hAnsi="Gill Sans MT"/>
          <w:bCs/>
          <w:sz w:val="24"/>
          <w:szCs w:val="24"/>
        </w:rPr>
        <w:t>. The NLP add</w:t>
      </w:r>
      <w:r>
        <w:rPr>
          <w:rFonts w:ascii="Gill Sans MT" w:hAnsi="Gill Sans MT"/>
          <w:bCs/>
          <w:sz w:val="24"/>
          <w:szCs w:val="24"/>
        </w:rPr>
        <w:t xml:space="preserve">resses some of the challenges faced by slum dwellers and suggests interventions that include taking inventory of genuine squatters and people who inhabit informal settlement, determining whether the land is suitable for human settlements, establishment of </w:t>
      </w:r>
      <w:r>
        <w:rPr>
          <w:rFonts w:ascii="Gill Sans MT" w:hAnsi="Gill Sans MT"/>
          <w:bCs/>
          <w:sz w:val="24"/>
          <w:szCs w:val="24"/>
        </w:rPr>
        <w:t xml:space="preserve">appropriate mechanism for removal and resettlement, enhancing sustainability in handling subjects of land in informal settlements, establishment of measures to prevent slum development and development of appropriate  legal frameworks for eviction based on </w:t>
      </w:r>
      <w:r>
        <w:rPr>
          <w:rFonts w:ascii="Gill Sans MT" w:hAnsi="Gill Sans MT"/>
          <w:bCs/>
          <w:sz w:val="24"/>
          <w:szCs w:val="24"/>
        </w:rPr>
        <w:t>internationally acceptable guideline.</w:t>
      </w:r>
    </w:p>
    <w:p w14:paraId="02FBBB9A"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The National Vision 2030</w:t>
      </w:r>
      <w:r>
        <w:rPr>
          <w:rFonts w:ascii="Gill Sans MT" w:hAnsi="Gill Sans MT"/>
          <w:bCs/>
          <w:sz w:val="24"/>
          <w:szCs w:val="24"/>
        </w:rPr>
        <w:t xml:space="preserve"> – aims to provide an adequate and decent housed nation in a suitable environment by 2020, with a target for high quality urban planning noting that most cities and towns are unplanned. The poli</w:t>
      </w:r>
      <w:r>
        <w:rPr>
          <w:rFonts w:ascii="Gill Sans MT" w:hAnsi="Gill Sans MT"/>
          <w:bCs/>
          <w:sz w:val="24"/>
          <w:szCs w:val="24"/>
        </w:rPr>
        <w:t>cy also foresees the big need for an effective capacity for regional and urban development planning for those living in slums and informal settlements</w:t>
      </w:r>
      <w:r>
        <w:rPr>
          <w:rStyle w:val="FootnoteReference"/>
          <w:rFonts w:ascii="Gill Sans MT" w:hAnsi="Gill Sans MT"/>
          <w:bCs/>
          <w:sz w:val="24"/>
          <w:szCs w:val="24"/>
        </w:rPr>
        <w:footnoteReference w:id="15"/>
      </w:r>
      <w:r>
        <w:rPr>
          <w:rFonts w:ascii="Gill Sans MT" w:hAnsi="Gill Sans MT"/>
          <w:bCs/>
          <w:sz w:val="24"/>
          <w:szCs w:val="24"/>
        </w:rPr>
        <w:t xml:space="preserve">. Further, in addition to advocating for affordable housing, the policy addresses the issue of </w:t>
      </w:r>
      <w:r>
        <w:rPr>
          <w:rFonts w:ascii="Gill Sans MT" w:hAnsi="Gill Sans MT"/>
          <w:bCs/>
          <w:sz w:val="24"/>
          <w:szCs w:val="24"/>
        </w:rPr>
        <w:t>equality and poverty elimination as well as increasing school enrolment for girls and children from nomadic communities and poor slum communities. Some of these plans are currently being implemented in many informal settlements for example Kibera.</w:t>
      </w:r>
    </w:p>
    <w:p w14:paraId="0E58C6E9"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 xml:space="preserve">The </w:t>
      </w:r>
      <w:r>
        <w:rPr>
          <w:rFonts w:ascii="Gill Sans MT" w:hAnsi="Gill Sans MT"/>
          <w:b/>
          <w:bCs/>
          <w:i/>
          <w:sz w:val="24"/>
          <w:szCs w:val="24"/>
        </w:rPr>
        <w:t>National Housing Policy, 2004</w:t>
      </w:r>
      <w:r>
        <w:rPr>
          <w:rFonts w:ascii="Gill Sans MT" w:hAnsi="Gill Sans MT"/>
          <w:bCs/>
          <w:sz w:val="24"/>
          <w:szCs w:val="24"/>
        </w:rPr>
        <w:t xml:space="preserve"> – provides the government’s road map to carry out land use planning and management and as well as establishing banking facilities for low income housing. The policy also advocates for provision of incentives for squatters who </w:t>
      </w:r>
      <w:r>
        <w:rPr>
          <w:rFonts w:ascii="Gill Sans MT" w:hAnsi="Gill Sans MT"/>
          <w:bCs/>
          <w:sz w:val="24"/>
          <w:szCs w:val="24"/>
        </w:rPr>
        <w:t>purchase land they occupy at lower rate for shelter development, waiving fees on survey, sub-division, and even change over.</w:t>
      </w:r>
    </w:p>
    <w:p w14:paraId="7ED38274"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The National Urban Development Policy, 2011</w:t>
      </w:r>
      <w:r>
        <w:rPr>
          <w:rFonts w:ascii="Gill Sans MT" w:hAnsi="Gill Sans MT"/>
          <w:bCs/>
          <w:sz w:val="24"/>
          <w:szCs w:val="24"/>
        </w:rPr>
        <w:t xml:space="preserve"> – formulated out of a recognition that Urban development this far is composed of inadeq</w:t>
      </w:r>
      <w:r>
        <w:rPr>
          <w:rFonts w:ascii="Gill Sans MT" w:hAnsi="Gill Sans MT"/>
          <w:bCs/>
          <w:sz w:val="24"/>
          <w:szCs w:val="24"/>
        </w:rPr>
        <w:t>uate supply of quality goods and services with various land uses and management beset with corruption, controversy and conflict</w:t>
      </w:r>
      <w:r>
        <w:rPr>
          <w:rStyle w:val="FootnoteReference"/>
          <w:rFonts w:ascii="Gill Sans MT" w:hAnsi="Gill Sans MT"/>
          <w:bCs/>
          <w:sz w:val="24"/>
          <w:szCs w:val="24"/>
        </w:rPr>
        <w:footnoteReference w:id="16"/>
      </w:r>
      <w:r>
        <w:rPr>
          <w:rFonts w:ascii="Gill Sans MT" w:hAnsi="Gill Sans MT"/>
          <w:bCs/>
          <w:sz w:val="24"/>
          <w:szCs w:val="24"/>
        </w:rPr>
        <w:t xml:space="preserve">. It therefore sought to create a framework for sustainable development of urban </w:t>
      </w:r>
      <w:r>
        <w:rPr>
          <w:rFonts w:ascii="Gill Sans MT" w:hAnsi="Gill Sans MT"/>
          <w:bCs/>
          <w:sz w:val="24"/>
          <w:szCs w:val="24"/>
        </w:rPr>
        <w:lastRenderedPageBreak/>
        <w:t>areas focusing on thematic areas especially gov</w:t>
      </w:r>
      <w:r>
        <w:rPr>
          <w:rFonts w:ascii="Gill Sans MT" w:hAnsi="Gill Sans MT"/>
          <w:bCs/>
          <w:sz w:val="24"/>
          <w:szCs w:val="24"/>
        </w:rPr>
        <w:t>ernance and management of urban areas, urban finance, urban economy, national and county planning. The policy also addresses other related issues such as social infrastructure and services, urban housing, security and disaster risk management and marginali</w:t>
      </w:r>
      <w:r>
        <w:rPr>
          <w:rFonts w:ascii="Gill Sans MT" w:hAnsi="Gill Sans MT"/>
          <w:bCs/>
          <w:sz w:val="24"/>
          <w:szCs w:val="24"/>
        </w:rPr>
        <w:t>zation of vulnerable groups which are integral challenges that informal settlements face.</w:t>
      </w:r>
    </w:p>
    <w:p w14:paraId="13409A9F"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The National Slum Upgrading and Prevention Policy</w:t>
      </w:r>
      <w:r>
        <w:rPr>
          <w:rFonts w:ascii="Gill Sans MT" w:hAnsi="Gill Sans MT"/>
          <w:bCs/>
          <w:sz w:val="24"/>
          <w:szCs w:val="24"/>
        </w:rPr>
        <w:t xml:space="preserve"> – initiated by the Ministry of Housing in 2012, aims to transform slums and informal settlements into better dwellin</w:t>
      </w:r>
      <w:r>
        <w:rPr>
          <w:rFonts w:ascii="Gill Sans MT" w:hAnsi="Gill Sans MT"/>
          <w:bCs/>
          <w:sz w:val="24"/>
          <w:szCs w:val="24"/>
        </w:rPr>
        <w:t>gs for habitation by peoples from every background. This was to be implemented through multi-stakeholder collaboration since upgrading is a comprehensive, multidisciplinary and inter-disciplinary process (</w:t>
      </w:r>
      <w:r>
        <w:rPr>
          <w:rFonts w:ascii="Gill Sans MT" w:hAnsi="Gill Sans MT"/>
          <w:sz w:val="24"/>
          <w:szCs w:val="24"/>
        </w:rPr>
        <w:t>Mutero &amp; Chege, 2019</w:t>
      </w:r>
      <w:r>
        <w:rPr>
          <w:rFonts w:ascii="Gill Sans MT" w:hAnsi="Gill Sans MT"/>
          <w:bCs/>
          <w:sz w:val="24"/>
          <w:szCs w:val="24"/>
        </w:rPr>
        <w:t>).</w:t>
      </w:r>
    </w:p>
    <w:p w14:paraId="3078909E" w14:textId="77777777" w:rsidR="00E258FD" w:rsidRDefault="001372B9">
      <w:pPr>
        <w:pStyle w:val="ListParagraph"/>
        <w:numPr>
          <w:ilvl w:val="0"/>
          <w:numId w:val="6"/>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i/>
          <w:iCs/>
          <w:sz w:val="24"/>
          <w:szCs w:val="24"/>
        </w:rPr>
        <w:t>Some Case Law Examples</w:t>
      </w:r>
      <w:r>
        <w:rPr>
          <w:rFonts w:ascii="Gill Sans MT" w:hAnsi="Gill Sans MT"/>
          <w:bCs/>
          <w:sz w:val="24"/>
          <w:szCs w:val="24"/>
        </w:rPr>
        <w:t xml:space="preserve"> - Ove</w:t>
      </w:r>
      <w:r>
        <w:rPr>
          <w:rFonts w:ascii="Gill Sans MT" w:hAnsi="Gill Sans MT"/>
          <w:bCs/>
          <w:sz w:val="24"/>
          <w:szCs w:val="24"/>
        </w:rPr>
        <w:t>r the years residents of informal settlements and CSOs who support their work have litigated a number of public interest issues in Courts of law. These cases have given rise to precedent-setting decisions whose impact is the progressive institutionalizatio</w:t>
      </w:r>
      <w:r>
        <w:rPr>
          <w:rFonts w:ascii="Gill Sans MT" w:hAnsi="Gill Sans MT"/>
          <w:bCs/>
          <w:sz w:val="24"/>
          <w:szCs w:val="24"/>
        </w:rPr>
        <w:t>n of informal sector improvement or strengthening of security of tenure, improved service and infrastructure delivery, a sustainable future urban growth but in some instances also great departure from the conceptual imperatives of this important sector. It</w:t>
      </w:r>
      <w:r>
        <w:rPr>
          <w:rFonts w:ascii="Gill Sans MT" w:hAnsi="Gill Sans MT"/>
          <w:bCs/>
          <w:sz w:val="24"/>
          <w:szCs w:val="24"/>
        </w:rPr>
        <w:t xml:space="preserve"> is important that these developments are examined to support the evolution of progressive jurisprudence that should inform practice in the coming future. For instance, on 11 January 2021, the Kenyan Supreme Court delivered the judgment in </w:t>
      </w:r>
      <w:r>
        <w:rPr>
          <w:rFonts w:ascii="Gill Sans MT" w:hAnsi="Gill Sans MT"/>
          <w:bCs/>
          <w:i/>
          <w:sz w:val="24"/>
          <w:szCs w:val="24"/>
        </w:rPr>
        <w:t>Mitu-Bell Welfar</w:t>
      </w:r>
      <w:r>
        <w:rPr>
          <w:rFonts w:ascii="Gill Sans MT" w:hAnsi="Gill Sans MT"/>
          <w:bCs/>
          <w:i/>
          <w:sz w:val="24"/>
          <w:szCs w:val="24"/>
        </w:rPr>
        <w:t>e Society</w:t>
      </w:r>
      <w:r>
        <w:rPr>
          <w:rFonts w:ascii="Gill Sans MT" w:hAnsi="Gill Sans MT"/>
          <w:bCs/>
          <w:sz w:val="24"/>
          <w:szCs w:val="24"/>
        </w:rPr>
        <w:t xml:space="preserve"> </w:t>
      </w:r>
      <w:r>
        <w:rPr>
          <w:rFonts w:ascii="Gill Sans MT" w:hAnsi="Gill Sans MT"/>
          <w:bCs/>
          <w:i/>
          <w:sz w:val="24"/>
          <w:szCs w:val="24"/>
        </w:rPr>
        <w:t>v The Kenya Airports Authority and 2 others</w:t>
      </w:r>
      <w:r>
        <w:rPr>
          <w:rStyle w:val="FootnoteReference"/>
          <w:rFonts w:ascii="Gill Sans MT" w:hAnsi="Gill Sans MT"/>
          <w:bCs/>
          <w:i/>
          <w:sz w:val="24"/>
          <w:szCs w:val="24"/>
        </w:rPr>
        <w:footnoteReference w:id="17"/>
      </w:r>
      <w:r>
        <w:rPr>
          <w:rFonts w:ascii="Gill Sans MT" w:hAnsi="Gill Sans MT"/>
          <w:bCs/>
          <w:i/>
          <w:sz w:val="24"/>
          <w:szCs w:val="24"/>
        </w:rPr>
        <w:t xml:space="preserve"> </w:t>
      </w:r>
      <w:r>
        <w:rPr>
          <w:rFonts w:ascii="Gill Sans MT" w:hAnsi="Gill Sans MT"/>
          <w:bCs/>
          <w:sz w:val="24"/>
          <w:szCs w:val="24"/>
        </w:rPr>
        <w:t>that</w:t>
      </w:r>
      <w:r>
        <w:rPr>
          <w:rFonts w:ascii="Gill Sans MT" w:hAnsi="Gill Sans MT"/>
          <w:bCs/>
          <w:i/>
          <w:sz w:val="24"/>
          <w:szCs w:val="24"/>
        </w:rPr>
        <w:t xml:space="preserve"> </w:t>
      </w:r>
      <w:r>
        <w:rPr>
          <w:rFonts w:ascii="Gill Sans MT" w:hAnsi="Gill Sans MT"/>
          <w:bCs/>
          <w:sz w:val="24"/>
          <w:szCs w:val="24"/>
        </w:rPr>
        <w:t>remains one of the best progressive judgments we have on informal settlements. The case concerned the unlawful eviction and demolition of the homes of over 3,000 families residing in an informal s</w:t>
      </w:r>
      <w:r>
        <w:rPr>
          <w:rFonts w:ascii="Gill Sans MT" w:hAnsi="Gill Sans MT"/>
          <w:bCs/>
          <w:sz w:val="24"/>
          <w:szCs w:val="24"/>
        </w:rPr>
        <w:t>ettlement on public land for over 19 years. The forced eviction took place without due notice and despite a High Court order prohibiting government authorities from conducting the evictions, pending hearing of an application on the matter. The Supreme Cour</w:t>
      </w:r>
      <w:r>
        <w:rPr>
          <w:rFonts w:ascii="Gill Sans MT" w:hAnsi="Gill Sans MT"/>
          <w:bCs/>
          <w:sz w:val="24"/>
          <w:szCs w:val="24"/>
        </w:rPr>
        <w:t xml:space="preserve">t recognised that </w:t>
      </w:r>
      <w:r>
        <w:rPr>
          <w:rFonts w:ascii="Gill Sans MT" w:hAnsi="Gill Sans MT"/>
          <w:bCs/>
          <w:i/>
          <w:sz w:val="24"/>
          <w:szCs w:val="24"/>
        </w:rPr>
        <w:t>evictions without relocation or compensation negatively affect the equal enjoyment of the right to housing by vulnerable groups</w:t>
      </w:r>
      <w:r>
        <w:rPr>
          <w:rFonts w:ascii="Gill Sans MT" w:hAnsi="Gill Sans MT"/>
          <w:bCs/>
          <w:sz w:val="24"/>
          <w:szCs w:val="24"/>
        </w:rPr>
        <w:t xml:space="preserve">. Another case, </w:t>
      </w:r>
      <w:r>
        <w:rPr>
          <w:rFonts w:ascii="Gill Sans MT" w:hAnsi="Gill Sans MT"/>
          <w:bCs/>
          <w:i/>
          <w:sz w:val="24"/>
          <w:szCs w:val="24"/>
        </w:rPr>
        <w:t>Satros Ayuma and Others v Kenya Railways Corporation and Others</w:t>
      </w:r>
      <w:r>
        <w:rPr>
          <w:rFonts w:ascii="Gill Sans MT" w:hAnsi="Gill Sans MT"/>
          <w:bCs/>
          <w:sz w:val="24"/>
          <w:szCs w:val="24"/>
        </w:rPr>
        <w:t xml:space="preserve">, </w:t>
      </w:r>
      <w:r>
        <w:rPr>
          <w:rFonts w:ascii="Gill Sans MT" w:hAnsi="Gill Sans MT"/>
          <w:bCs/>
          <w:i/>
          <w:sz w:val="24"/>
          <w:szCs w:val="24"/>
        </w:rPr>
        <w:t>Nairobi High Court Petition No</w:t>
      </w:r>
      <w:r>
        <w:rPr>
          <w:rFonts w:ascii="Gill Sans MT" w:hAnsi="Gill Sans MT"/>
          <w:bCs/>
          <w:i/>
          <w:sz w:val="24"/>
          <w:szCs w:val="24"/>
        </w:rPr>
        <w:t xml:space="preserve"> 65 of 2010</w:t>
      </w:r>
      <w:r>
        <w:rPr>
          <w:rFonts w:ascii="Gill Sans MT" w:hAnsi="Gill Sans MT"/>
          <w:bCs/>
          <w:sz w:val="24"/>
          <w:szCs w:val="24"/>
        </w:rPr>
        <w:t xml:space="preserve"> provides another landmark ruling worth noting. The case is about a retirement </w:t>
      </w:r>
      <w:r>
        <w:rPr>
          <w:rFonts w:ascii="Gill Sans MT" w:hAnsi="Gill Sans MT"/>
          <w:bCs/>
          <w:sz w:val="24"/>
          <w:szCs w:val="24"/>
        </w:rPr>
        <w:lastRenderedPageBreak/>
        <w:t>scheme by Kenya Railways Corporation (KRC) which forcefully evicted tenants from Muthurwa Estates to pa</w:t>
      </w:r>
      <w:r>
        <w:rPr>
          <w:rFonts w:hAnsi="Gill Sans MT"/>
          <w:bCs/>
          <w:sz w:val="24"/>
          <w:szCs w:val="24"/>
        </w:rPr>
        <w:t>ve</w:t>
      </w:r>
      <w:r>
        <w:rPr>
          <w:rFonts w:ascii="Gill Sans MT" w:hAnsi="Gill Sans MT"/>
          <w:bCs/>
          <w:sz w:val="24"/>
          <w:szCs w:val="24"/>
        </w:rPr>
        <w:t xml:space="preserve"> way for development project for the Kenya Railways Retiremen</w:t>
      </w:r>
      <w:r>
        <w:rPr>
          <w:rFonts w:ascii="Gill Sans MT" w:hAnsi="Gill Sans MT"/>
          <w:bCs/>
          <w:sz w:val="24"/>
          <w:szCs w:val="24"/>
        </w:rPr>
        <w:t>t Benefits Scheme. The high court ruled that KRC violated the rights of the tenants that were evicted to accessible and adequate housing contrary to Article 43 of the Constitution but limited to the manner in which the forced evictions were conducted</w:t>
      </w:r>
      <w:r>
        <w:rPr>
          <w:rStyle w:val="FootnoteReference"/>
          <w:rFonts w:ascii="Gill Sans MT" w:hAnsi="Gill Sans MT"/>
          <w:bCs/>
          <w:sz w:val="24"/>
          <w:szCs w:val="24"/>
        </w:rPr>
        <w:footnoteReference w:id="18"/>
      </w:r>
      <w:r>
        <w:rPr>
          <w:rFonts w:ascii="Gill Sans MT" w:hAnsi="Gill Sans MT"/>
          <w:bCs/>
          <w:sz w:val="24"/>
          <w:szCs w:val="24"/>
        </w:rPr>
        <w:t>.</w:t>
      </w:r>
    </w:p>
    <w:p w14:paraId="1C50C27C" w14:textId="77777777" w:rsidR="00E258FD" w:rsidRDefault="001372B9">
      <w:pPr>
        <w:spacing w:before="0" w:beforeAutospacing="0" w:after="0" w:line="360" w:lineRule="auto"/>
        <w:rPr>
          <w:rFonts w:ascii="Gill Sans MT" w:eastAsia="Calibri" w:hAnsi="Gill Sans MT"/>
          <w:b/>
          <w:bCs/>
          <w:sz w:val="24"/>
          <w:szCs w:val="24"/>
        </w:rPr>
      </w:pPr>
      <w:r>
        <w:rPr>
          <w:rFonts w:ascii="Gill Sans MT" w:eastAsia="Calibri" w:hAnsi="Gill Sans MT"/>
          <w:b/>
          <w:bCs/>
          <w:sz w:val="24"/>
          <w:szCs w:val="24"/>
        </w:rPr>
        <w:br w:type="page"/>
      </w:r>
    </w:p>
    <w:p w14:paraId="6141D4A7"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20" w:name="_Toc106369896"/>
      <w:r>
        <w:rPr>
          <w:rStyle w:val="BookTitle"/>
          <w:b/>
          <w:bCs w:val="0"/>
          <w:smallCaps w:val="0"/>
          <w:color w:val="0070C0"/>
          <w:spacing w:val="0"/>
          <w:sz w:val="28"/>
        </w:rPr>
        <w:lastRenderedPageBreak/>
        <w:t>CHAPTER TWO</w:t>
      </w:r>
      <w:bookmarkEnd w:id="20"/>
    </w:p>
    <w:p w14:paraId="3588010E"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21" w:name="_Toc106369897"/>
      <w:r>
        <w:rPr>
          <w:rStyle w:val="BookTitle"/>
          <w:b/>
          <w:bCs w:val="0"/>
          <w:smallCaps w:val="0"/>
          <w:color w:val="0070C0"/>
          <w:spacing w:val="0"/>
          <w:sz w:val="28"/>
        </w:rPr>
        <w:t>UPGRADING PROGRAMMES AND INITIATIVES</w:t>
      </w:r>
      <w:bookmarkEnd w:id="21"/>
    </w:p>
    <w:p w14:paraId="3D9D4FA0"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22" w:name="_Toc106369898"/>
      <w:r>
        <w:rPr>
          <w:rStyle w:val="BookTitle"/>
          <w:b/>
          <w:bCs w:val="0"/>
          <w:smallCaps w:val="0"/>
          <w:color w:val="0070C0"/>
          <w:spacing w:val="0"/>
          <w:sz w:val="28"/>
        </w:rPr>
        <w:t>(KENSUP &amp; KISIP, KUSP)</w:t>
      </w:r>
      <w:bookmarkEnd w:id="22"/>
    </w:p>
    <w:p w14:paraId="57048949" w14:textId="77777777" w:rsidR="00E258FD" w:rsidRDefault="00E258FD">
      <w:pPr>
        <w:autoSpaceDE w:val="0"/>
        <w:autoSpaceDN w:val="0"/>
        <w:adjustRightInd w:val="0"/>
        <w:spacing w:before="0" w:beforeAutospacing="0" w:after="0" w:line="360" w:lineRule="auto"/>
        <w:jc w:val="both"/>
        <w:rPr>
          <w:rFonts w:ascii="Gill Sans MT" w:eastAsia="Calibri" w:hAnsi="Gill Sans MT"/>
          <w:bCs/>
          <w:sz w:val="24"/>
          <w:szCs w:val="24"/>
        </w:rPr>
      </w:pPr>
    </w:p>
    <w:p w14:paraId="64139F64" w14:textId="77777777" w:rsidR="00E258FD" w:rsidRDefault="001372B9">
      <w:pPr>
        <w:pStyle w:val="Heading2"/>
        <w:spacing w:before="0" w:beforeAutospacing="0" w:line="360" w:lineRule="auto"/>
        <w:rPr>
          <w:rFonts w:ascii="Gill Sans MT" w:hAnsi="Gill Sans MT"/>
          <w:color w:val="0070C0"/>
        </w:rPr>
      </w:pPr>
      <w:bookmarkStart w:id="23" w:name="_Toc106369899"/>
      <w:r>
        <w:rPr>
          <w:rFonts w:ascii="Gill Sans MT" w:hAnsi="Gill Sans MT"/>
          <w:color w:val="0070C0"/>
        </w:rPr>
        <w:t>2.1 Brief overview of KISIP and KENSUP</w:t>
      </w:r>
      <w:bookmarkEnd w:id="23"/>
      <w:r>
        <w:rPr>
          <w:rFonts w:ascii="Gill Sans MT" w:hAnsi="Gill Sans MT"/>
          <w:color w:val="0070C0"/>
        </w:rPr>
        <w:t xml:space="preserve"> </w:t>
      </w:r>
    </w:p>
    <w:p w14:paraId="5FD6B26B"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i/>
          <w:sz w:val="24"/>
          <w:szCs w:val="24"/>
        </w:rPr>
        <w:t>Kenya Informal Settlement Improvement Project</w:t>
      </w:r>
      <w:r>
        <w:rPr>
          <w:rFonts w:ascii="Gill Sans MT" w:hAnsi="Gill Sans MT"/>
          <w:bCs/>
          <w:sz w:val="24"/>
          <w:szCs w:val="24"/>
        </w:rPr>
        <w:t xml:space="preserve"> (KISIP) is a government initiative started in 2011 by the Kenyan government in partnership with t</w:t>
      </w:r>
      <w:r>
        <w:rPr>
          <w:rFonts w:ascii="Gill Sans MT" w:hAnsi="Gill Sans MT"/>
          <w:bCs/>
          <w:sz w:val="24"/>
          <w:szCs w:val="24"/>
        </w:rPr>
        <w:t>he World Bank and Swedish International Development Agency (SIDA). This initiative was aimed at improving living conditions on the current informal settlement by improving infrastructure and strengthening of security of tenure</w:t>
      </w:r>
      <w:r>
        <w:rPr>
          <w:rStyle w:val="FootnoteReference"/>
          <w:rFonts w:ascii="Gill Sans MT" w:hAnsi="Gill Sans MT"/>
          <w:bCs/>
          <w:sz w:val="24"/>
          <w:szCs w:val="24"/>
        </w:rPr>
        <w:footnoteReference w:id="19"/>
      </w:r>
      <w:r>
        <w:rPr>
          <w:rFonts w:ascii="Gill Sans MT" w:hAnsi="Gill Sans MT"/>
          <w:bCs/>
          <w:sz w:val="24"/>
          <w:szCs w:val="24"/>
        </w:rPr>
        <w:t xml:space="preserve">. The initiative also sought </w:t>
      </w:r>
      <w:r>
        <w:rPr>
          <w:rFonts w:ascii="Gill Sans MT" w:hAnsi="Gill Sans MT"/>
          <w:bCs/>
          <w:sz w:val="24"/>
          <w:szCs w:val="24"/>
        </w:rPr>
        <w:t>to help the government to plan for future urban growth in a way that prevents the emergence of new slums and was implemented in 15 municipalities within five years from June 2011 at a cost of USD 165 million. The project comprised four components namely:</w:t>
      </w:r>
    </w:p>
    <w:p w14:paraId="4A878CB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4D2DF3CA" w14:textId="77777777" w:rsidR="00E258FD" w:rsidRDefault="001372B9">
      <w:pPr>
        <w:pStyle w:val="ListParagraph"/>
        <w:numPr>
          <w:ilvl w:val="0"/>
          <w:numId w:val="8"/>
        </w:numPr>
        <w:tabs>
          <w:tab w:val="left" w:pos="880"/>
        </w:tabs>
        <w:autoSpaceDE w:val="0"/>
        <w:autoSpaceDN w:val="0"/>
        <w:adjustRightInd w:val="0"/>
        <w:spacing w:before="0" w:beforeAutospacing="0" w:after="0" w:line="360" w:lineRule="auto"/>
        <w:ind w:left="880" w:hanging="520"/>
        <w:jc w:val="both"/>
        <w:rPr>
          <w:rFonts w:ascii="Gill Sans MT" w:hAnsi="Gill Sans MT"/>
          <w:bCs/>
          <w:sz w:val="24"/>
          <w:szCs w:val="24"/>
        </w:rPr>
      </w:pPr>
      <w:r>
        <w:rPr>
          <w:rFonts w:ascii="Gill Sans MT" w:hAnsi="Gill Sans MT"/>
          <w:b/>
          <w:bCs/>
          <w:i/>
          <w:sz w:val="24"/>
          <w:szCs w:val="24"/>
        </w:rPr>
        <w:t>Institutional strengthening</w:t>
      </w:r>
      <w:r>
        <w:rPr>
          <w:rFonts w:ascii="Gill Sans MT" w:hAnsi="Gill Sans MT"/>
          <w:bCs/>
          <w:sz w:val="24"/>
          <w:szCs w:val="24"/>
        </w:rPr>
        <w:t xml:space="preserve"> – and programme management of the Ministry of Housing, Ministry of Lands and the participating Local Authorities; </w:t>
      </w:r>
    </w:p>
    <w:p w14:paraId="76EE65C5" w14:textId="77777777" w:rsidR="00E258FD" w:rsidRDefault="001372B9">
      <w:pPr>
        <w:pStyle w:val="ListParagraph"/>
        <w:numPr>
          <w:ilvl w:val="0"/>
          <w:numId w:val="8"/>
        </w:numPr>
        <w:tabs>
          <w:tab w:val="left" w:pos="880"/>
        </w:tabs>
        <w:autoSpaceDE w:val="0"/>
        <w:autoSpaceDN w:val="0"/>
        <w:adjustRightInd w:val="0"/>
        <w:spacing w:before="0" w:beforeAutospacing="0" w:after="0" w:line="360" w:lineRule="auto"/>
        <w:ind w:left="880" w:hanging="520"/>
        <w:jc w:val="both"/>
        <w:rPr>
          <w:rFonts w:ascii="Gill Sans MT" w:hAnsi="Gill Sans MT"/>
          <w:bCs/>
          <w:sz w:val="24"/>
          <w:szCs w:val="24"/>
        </w:rPr>
      </w:pPr>
      <w:r>
        <w:rPr>
          <w:rFonts w:ascii="Gill Sans MT" w:hAnsi="Gill Sans MT"/>
          <w:b/>
          <w:bCs/>
          <w:i/>
          <w:sz w:val="24"/>
          <w:szCs w:val="24"/>
        </w:rPr>
        <w:t>Enhancing tenure security:</w:t>
      </w:r>
      <w:r>
        <w:rPr>
          <w:rFonts w:ascii="Gill Sans MT" w:hAnsi="Gill Sans MT"/>
          <w:bCs/>
          <w:sz w:val="24"/>
          <w:szCs w:val="24"/>
        </w:rPr>
        <w:t xml:space="preserve"> This involved planning, surveying and issuance of titles. This activity under the init</w:t>
      </w:r>
      <w:r>
        <w:rPr>
          <w:rFonts w:ascii="Gill Sans MT" w:hAnsi="Gill Sans MT"/>
          <w:bCs/>
          <w:sz w:val="24"/>
          <w:szCs w:val="24"/>
        </w:rPr>
        <w:t>iative provided some guidelines for informal settlements, establishing databases on land tenure, community organization and mobilization, preparation of development plans including determination of settlement boundaries, detailed mapping and provision of s</w:t>
      </w:r>
      <w:r>
        <w:rPr>
          <w:rFonts w:ascii="Gill Sans MT" w:hAnsi="Gill Sans MT"/>
          <w:bCs/>
          <w:sz w:val="24"/>
          <w:szCs w:val="24"/>
        </w:rPr>
        <w:t>ecure tenure, identification and verification of beneficiaries based on agreed eligibility criteria, preparation of local physical development plans, issuance of letters of allotment to households/groups, surveying of individual plots and preparation of re</w:t>
      </w:r>
      <w:r>
        <w:rPr>
          <w:rFonts w:ascii="Gill Sans MT" w:hAnsi="Gill Sans MT"/>
          <w:bCs/>
          <w:sz w:val="24"/>
          <w:szCs w:val="24"/>
        </w:rPr>
        <w:t>gistry index maps, registration and issuance of titles to households or groups</w:t>
      </w:r>
      <w:r>
        <w:rPr>
          <w:rStyle w:val="FootnoteReference"/>
          <w:rFonts w:ascii="Gill Sans MT" w:hAnsi="Gill Sans MT"/>
          <w:bCs/>
          <w:sz w:val="24"/>
          <w:szCs w:val="24"/>
        </w:rPr>
        <w:footnoteReference w:id="20"/>
      </w:r>
      <w:r>
        <w:rPr>
          <w:rFonts w:ascii="Gill Sans MT" w:hAnsi="Gill Sans MT"/>
          <w:bCs/>
          <w:sz w:val="24"/>
          <w:szCs w:val="24"/>
        </w:rPr>
        <w:t xml:space="preserve">. </w:t>
      </w:r>
    </w:p>
    <w:p w14:paraId="32C32B28" w14:textId="77777777" w:rsidR="00E258FD" w:rsidRDefault="001372B9">
      <w:pPr>
        <w:pStyle w:val="ListParagraph"/>
        <w:numPr>
          <w:ilvl w:val="0"/>
          <w:numId w:val="8"/>
        </w:numPr>
        <w:tabs>
          <w:tab w:val="left" w:pos="880"/>
        </w:tabs>
        <w:autoSpaceDE w:val="0"/>
        <w:autoSpaceDN w:val="0"/>
        <w:adjustRightInd w:val="0"/>
        <w:spacing w:before="0" w:beforeAutospacing="0" w:after="0" w:line="360" w:lineRule="auto"/>
        <w:ind w:left="880" w:hanging="520"/>
        <w:jc w:val="both"/>
        <w:rPr>
          <w:rFonts w:ascii="Gill Sans MT" w:hAnsi="Gill Sans MT"/>
          <w:bCs/>
          <w:sz w:val="24"/>
          <w:szCs w:val="24"/>
        </w:rPr>
      </w:pPr>
      <w:r>
        <w:rPr>
          <w:rFonts w:ascii="Gill Sans MT" w:hAnsi="Gill Sans MT"/>
          <w:b/>
          <w:bCs/>
          <w:i/>
          <w:sz w:val="24"/>
          <w:szCs w:val="24"/>
        </w:rPr>
        <w:t>Investing in infrastructure and service delivery:</w:t>
      </w:r>
      <w:r>
        <w:rPr>
          <w:rFonts w:ascii="Gill Sans MT" w:hAnsi="Gill Sans MT"/>
          <w:bCs/>
          <w:sz w:val="24"/>
          <w:szCs w:val="24"/>
        </w:rPr>
        <w:t xml:space="preserve"> The Government invested in roads, bicycle paths, pedestrian walkways, street and security lights, waste management, water dr</w:t>
      </w:r>
      <w:r>
        <w:rPr>
          <w:rFonts w:ascii="Gill Sans MT" w:hAnsi="Gill Sans MT"/>
          <w:bCs/>
          <w:sz w:val="24"/>
          <w:szCs w:val="24"/>
        </w:rPr>
        <w:t>ainage, sanitation, green spaces, platforms etc. in the informal settlement spaces;</w:t>
      </w:r>
    </w:p>
    <w:p w14:paraId="045B694A" w14:textId="77777777" w:rsidR="00E258FD" w:rsidRDefault="001372B9">
      <w:pPr>
        <w:pStyle w:val="ListParagraph"/>
        <w:numPr>
          <w:ilvl w:val="0"/>
          <w:numId w:val="8"/>
        </w:numPr>
        <w:tabs>
          <w:tab w:val="left" w:pos="880"/>
        </w:tabs>
        <w:autoSpaceDE w:val="0"/>
        <w:autoSpaceDN w:val="0"/>
        <w:adjustRightInd w:val="0"/>
        <w:spacing w:before="0" w:beforeAutospacing="0" w:after="0" w:line="360" w:lineRule="auto"/>
        <w:ind w:left="880" w:hanging="520"/>
        <w:jc w:val="both"/>
        <w:rPr>
          <w:rFonts w:ascii="Gill Sans MT" w:hAnsi="Gill Sans MT"/>
          <w:bCs/>
          <w:sz w:val="24"/>
          <w:szCs w:val="24"/>
        </w:rPr>
      </w:pPr>
      <w:r>
        <w:rPr>
          <w:rFonts w:ascii="Gill Sans MT" w:hAnsi="Gill Sans MT"/>
          <w:b/>
          <w:bCs/>
          <w:i/>
          <w:sz w:val="24"/>
          <w:szCs w:val="24"/>
        </w:rPr>
        <w:lastRenderedPageBreak/>
        <w:t>Planning for urban growth</w:t>
      </w:r>
      <w:r>
        <w:rPr>
          <w:rFonts w:ascii="Gill Sans MT" w:hAnsi="Gill Sans MT"/>
          <w:bCs/>
          <w:sz w:val="24"/>
          <w:szCs w:val="24"/>
        </w:rPr>
        <w:t xml:space="preserve">. Lack of adequate planning is a challenge. Through this component, the Government provided technical assistance to the municipalities the goal of </w:t>
      </w:r>
      <w:r>
        <w:rPr>
          <w:rFonts w:ascii="Gill Sans MT" w:hAnsi="Gill Sans MT"/>
          <w:bCs/>
          <w:sz w:val="24"/>
          <w:szCs w:val="24"/>
        </w:rPr>
        <w:t>which was to take measures that will reduce or prevent slums (Muraguri, 2017).</w:t>
      </w:r>
    </w:p>
    <w:p w14:paraId="41E2E17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7F1A605"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On the other hand, </w:t>
      </w:r>
      <w:r>
        <w:rPr>
          <w:rFonts w:ascii="Gill Sans MT" w:hAnsi="Gill Sans MT"/>
          <w:bCs/>
          <w:i/>
          <w:sz w:val="24"/>
          <w:szCs w:val="24"/>
        </w:rPr>
        <w:t>The Kenya Slum Upgrading Programme</w:t>
      </w:r>
      <w:r>
        <w:rPr>
          <w:rFonts w:ascii="Gill Sans MT" w:hAnsi="Gill Sans MT"/>
          <w:bCs/>
          <w:sz w:val="24"/>
          <w:szCs w:val="24"/>
        </w:rPr>
        <w:t xml:space="preserve"> (KENSUP) was initially the sole body charged with improvement of livelihoods in urban slums since its formation. Under this initiative, started in 2002 the government tried to realize its intentions by implementing a number of policy papers among which ar</w:t>
      </w:r>
      <w:r>
        <w:rPr>
          <w:rFonts w:ascii="Gill Sans MT" w:hAnsi="Gill Sans MT"/>
          <w:bCs/>
          <w:sz w:val="24"/>
          <w:szCs w:val="24"/>
        </w:rPr>
        <w:t xml:space="preserve">e: </w:t>
      </w:r>
      <w:r>
        <w:rPr>
          <w:rFonts w:ascii="Gill Sans MT" w:hAnsi="Gill Sans MT"/>
          <w:bCs/>
          <w:i/>
          <w:sz w:val="24"/>
          <w:szCs w:val="24"/>
        </w:rPr>
        <w:t>The Communication Strategy of 2005</w:t>
      </w:r>
      <w:r>
        <w:rPr>
          <w:rFonts w:ascii="Gill Sans MT" w:hAnsi="Gill Sans MT"/>
          <w:bCs/>
          <w:sz w:val="24"/>
          <w:szCs w:val="24"/>
        </w:rPr>
        <w:t>, which had the objective to empower stakeholders and ensure their meaningful participation in the implementation of slum upgrading projects. The strategy was divided into three levels namely: national, city/town and at</w:t>
      </w:r>
      <w:r>
        <w:rPr>
          <w:rFonts w:ascii="Gill Sans MT" w:hAnsi="Gill Sans MT"/>
          <w:bCs/>
          <w:sz w:val="24"/>
          <w:szCs w:val="24"/>
        </w:rPr>
        <w:t xml:space="preserve"> the settlement level in attempt to strengthen the nexus between the Central and Local Government institutions, development partners as well as the beneficiary community (Muraguri, 2017). Secondly, the </w:t>
      </w:r>
      <w:r>
        <w:rPr>
          <w:rFonts w:ascii="Gill Sans MT" w:hAnsi="Gill Sans MT"/>
          <w:bCs/>
          <w:i/>
          <w:sz w:val="24"/>
          <w:szCs w:val="24"/>
        </w:rPr>
        <w:t>Communication Plan of 2006</w:t>
      </w:r>
      <w:r>
        <w:rPr>
          <w:rFonts w:ascii="Gill Sans MT" w:hAnsi="Gill Sans MT"/>
          <w:bCs/>
          <w:sz w:val="24"/>
          <w:szCs w:val="24"/>
        </w:rPr>
        <w:t xml:space="preserve"> was developed to ease the m</w:t>
      </w:r>
      <w:r>
        <w:rPr>
          <w:rFonts w:ascii="Gill Sans MT" w:hAnsi="Gill Sans MT"/>
          <w:bCs/>
          <w:sz w:val="24"/>
          <w:szCs w:val="24"/>
        </w:rPr>
        <w:t>isunderstanding of KENSUP, by many stakeholders. These were informed by factors from historical accounts that documented efforts and attempts to improve the living conditions in slums. Lack of adequate information was considered as the major drawback to th</w:t>
      </w:r>
      <w:r>
        <w:rPr>
          <w:rFonts w:ascii="Gill Sans MT" w:hAnsi="Gill Sans MT"/>
          <w:bCs/>
          <w:sz w:val="24"/>
          <w:szCs w:val="24"/>
        </w:rPr>
        <w:t>e activities of KENSUP, since there was mistrust and suspicion that set in among stakeholders</w:t>
      </w:r>
      <w:r>
        <w:rPr>
          <w:rStyle w:val="FootnoteReference"/>
          <w:rFonts w:ascii="Gill Sans MT" w:hAnsi="Gill Sans MT"/>
          <w:bCs/>
          <w:sz w:val="24"/>
          <w:szCs w:val="24"/>
        </w:rPr>
        <w:footnoteReference w:id="21"/>
      </w:r>
      <w:r>
        <w:rPr>
          <w:rFonts w:ascii="Gill Sans MT" w:hAnsi="Gill Sans MT"/>
          <w:bCs/>
          <w:sz w:val="24"/>
          <w:szCs w:val="24"/>
        </w:rPr>
        <w:t xml:space="preserve">. </w:t>
      </w:r>
    </w:p>
    <w:p w14:paraId="4C7AE25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149D2E3"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collaboration with SIDA and other stakeholders helped develop a comprehensive Communication Plan linked to </w:t>
      </w:r>
      <w:r>
        <w:rPr>
          <w:rFonts w:ascii="Gill Sans MT" w:hAnsi="Gill Sans MT"/>
          <w:bCs/>
          <w:i/>
          <w:sz w:val="24"/>
          <w:szCs w:val="24"/>
        </w:rPr>
        <w:t>Integrated Land and Urban Sector Programme</w:t>
      </w:r>
      <w:r>
        <w:rPr>
          <w:rFonts w:ascii="Gill Sans MT" w:hAnsi="Gill Sans MT"/>
          <w:bCs/>
          <w:sz w:val="24"/>
          <w:szCs w:val="24"/>
        </w:rPr>
        <w:t xml:space="preserve"> (ILU</w:t>
      </w:r>
      <w:r>
        <w:rPr>
          <w:rFonts w:ascii="Gill Sans MT" w:hAnsi="Gill Sans MT"/>
          <w:bCs/>
          <w:sz w:val="24"/>
          <w:szCs w:val="24"/>
        </w:rPr>
        <w:t>SP) in order to address issues such as; gender, HIV/AIDS, human rights, and people with disability. The purpose of this was to ensure that the KENSUP concept was in line with Millennium Development Goal (MDG) Seven,Target 11 which aims to improve the lives</w:t>
      </w:r>
      <w:r>
        <w:rPr>
          <w:rFonts w:ascii="Gill Sans MT" w:hAnsi="Gill Sans MT"/>
          <w:bCs/>
          <w:sz w:val="24"/>
          <w:szCs w:val="24"/>
        </w:rPr>
        <w:t xml:space="preserve"> of 100 million slum dwellers by the year 2020, 5.3 million of whom were living in Kenya</w:t>
      </w:r>
      <w:r>
        <w:rPr>
          <w:rStyle w:val="FootnoteReference"/>
          <w:rFonts w:ascii="Gill Sans MT" w:hAnsi="Gill Sans MT"/>
          <w:bCs/>
          <w:sz w:val="24"/>
          <w:szCs w:val="24"/>
        </w:rPr>
        <w:footnoteReference w:id="22"/>
      </w:r>
      <w:r>
        <w:rPr>
          <w:rFonts w:ascii="Gill Sans MT" w:hAnsi="Gill Sans MT"/>
          <w:bCs/>
          <w:sz w:val="24"/>
          <w:szCs w:val="24"/>
        </w:rPr>
        <w:t xml:space="preserve">. In addition to this, the </w:t>
      </w:r>
      <w:r>
        <w:rPr>
          <w:rFonts w:ascii="Gill Sans MT" w:hAnsi="Gill Sans MT"/>
          <w:bCs/>
          <w:i/>
          <w:sz w:val="24"/>
          <w:szCs w:val="24"/>
        </w:rPr>
        <w:t>KENSUP Strategic Plan (2005-2020), Volume II</w:t>
      </w:r>
      <w:r>
        <w:rPr>
          <w:rFonts w:ascii="Gill Sans MT" w:hAnsi="Gill Sans MT"/>
          <w:bCs/>
          <w:sz w:val="24"/>
          <w:szCs w:val="24"/>
        </w:rPr>
        <w:t xml:space="preserve"> sought to address different issues including the policy and legal framework on slum upgrading, </w:t>
      </w:r>
      <w:r>
        <w:rPr>
          <w:rFonts w:ascii="Gill Sans MT" w:hAnsi="Gill Sans MT"/>
          <w:bCs/>
          <w:sz w:val="24"/>
          <w:szCs w:val="24"/>
        </w:rPr>
        <w:t xml:space="preserve">institutional framework, economic strategies for slum dwellers and infrastructural elements and facilities that need to be developed or improved in slums. The plan </w:t>
      </w:r>
      <w:r>
        <w:rPr>
          <w:rFonts w:ascii="Gill Sans MT" w:hAnsi="Gill Sans MT"/>
          <w:bCs/>
          <w:sz w:val="24"/>
          <w:szCs w:val="24"/>
        </w:rPr>
        <w:lastRenderedPageBreak/>
        <w:t>identified security of tenure as a major factor that hindered the slum upgrading initiatives</w:t>
      </w:r>
      <w:r>
        <w:rPr>
          <w:rFonts w:ascii="Gill Sans MT" w:hAnsi="Gill Sans MT"/>
          <w:bCs/>
          <w:sz w:val="24"/>
          <w:szCs w:val="24"/>
        </w:rPr>
        <w:t>. Unfortunately, close to two decades since this plan came into force, land tenure issue still remains largely unresolved for slum dwellers.</w:t>
      </w:r>
    </w:p>
    <w:p w14:paraId="282C198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EDCC37C" w14:textId="77777777" w:rsidR="00E258FD" w:rsidRDefault="001372B9">
      <w:pPr>
        <w:pStyle w:val="Heading2"/>
        <w:spacing w:before="0" w:beforeAutospacing="0" w:line="360" w:lineRule="auto"/>
        <w:rPr>
          <w:rFonts w:ascii="Gill Sans MT" w:hAnsi="Gill Sans MT"/>
          <w:color w:val="0070C0"/>
        </w:rPr>
      </w:pPr>
      <w:bookmarkStart w:id="24" w:name="_Toc106369900"/>
      <w:r>
        <w:rPr>
          <w:rFonts w:ascii="Gill Sans MT" w:hAnsi="Gill Sans MT"/>
          <w:color w:val="0070C0"/>
        </w:rPr>
        <w:t>2.2 Key KENSUP/KISIP Projects in Select Towns and Cities</w:t>
      </w:r>
      <w:bookmarkEnd w:id="24"/>
    </w:p>
    <w:p w14:paraId="36444BA8"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There are a number of projects that were </w:t>
      </w:r>
      <w:r>
        <w:rPr>
          <w:rFonts w:ascii="Gill Sans MT" w:hAnsi="Gill Sans MT"/>
          <w:bCs/>
          <w:sz w:val="24"/>
          <w:szCs w:val="24"/>
        </w:rPr>
        <w:t>undertaken under the KENSUP/KISIP programmes. Let us mention the following:</w:t>
      </w:r>
    </w:p>
    <w:p w14:paraId="75173D2D"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792DCB0" w14:textId="77777777" w:rsidR="00E258FD" w:rsidRDefault="001372B9">
      <w:pPr>
        <w:pStyle w:val="Heading3"/>
        <w:spacing w:before="0" w:beforeAutospacing="0" w:line="360" w:lineRule="auto"/>
        <w:rPr>
          <w:rFonts w:ascii="Gill Sans MT" w:hAnsi="Gill Sans MT"/>
          <w:i/>
          <w:color w:val="538135"/>
          <w:sz w:val="24"/>
          <w:szCs w:val="24"/>
        </w:rPr>
      </w:pPr>
      <w:bookmarkStart w:id="25" w:name="_Toc106369901"/>
      <w:r>
        <w:rPr>
          <w:rFonts w:ascii="Gill Sans MT" w:hAnsi="Gill Sans MT"/>
          <w:i/>
          <w:color w:val="538135"/>
          <w:sz w:val="24"/>
          <w:szCs w:val="24"/>
        </w:rPr>
        <w:t>2.2.1 Kibera Integrated Water, Sanitation And Waste Management Project, Nairobi</w:t>
      </w:r>
      <w:bookmarkEnd w:id="25"/>
    </w:p>
    <w:p w14:paraId="782910CB"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Statistics indicate that Kibera is the second largest informal settlement in Africa, with a total a</w:t>
      </w:r>
      <w:r>
        <w:rPr>
          <w:rFonts w:ascii="Gill Sans MT" w:hAnsi="Gill Sans MT"/>
          <w:bCs/>
          <w:sz w:val="24"/>
          <w:szCs w:val="24"/>
        </w:rPr>
        <w:t xml:space="preserve">rea of approximately 256 hectares and an estimated total population in the settlement ranging from 600,000 to 1,000,000 inhabitants. This represents a quarter of Nairobi’s population and comprises of </w:t>
      </w:r>
      <w:r>
        <w:rPr>
          <w:rFonts w:ascii="Gill Sans MT" w:hAnsi="Gill Sans MT"/>
          <w:bCs/>
          <w:i/>
          <w:sz w:val="24"/>
          <w:szCs w:val="24"/>
        </w:rPr>
        <w:t>12 villages</w:t>
      </w:r>
      <w:r>
        <w:rPr>
          <w:rFonts w:ascii="Gill Sans MT" w:hAnsi="Gill Sans MT"/>
          <w:bCs/>
          <w:sz w:val="24"/>
          <w:szCs w:val="24"/>
        </w:rPr>
        <w:t>, each characterised by lack of basic urban s</w:t>
      </w:r>
      <w:r>
        <w:rPr>
          <w:rFonts w:ascii="Gill Sans MT" w:hAnsi="Gill Sans MT"/>
          <w:bCs/>
          <w:sz w:val="24"/>
          <w:szCs w:val="24"/>
        </w:rPr>
        <w:t>ervices and infrastructure, including water supply, sanitation, solid waste management, adequate housing, power, and roads</w:t>
      </w:r>
      <w:r>
        <w:rPr>
          <w:rStyle w:val="FootnoteReference"/>
          <w:rFonts w:ascii="Gill Sans MT" w:hAnsi="Gill Sans MT"/>
          <w:bCs/>
          <w:sz w:val="24"/>
          <w:szCs w:val="24"/>
        </w:rPr>
        <w:footnoteReference w:id="23"/>
      </w:r>
      <w:r>
        <w:rPr>
          <w:rFonts w:ascii="Gill Sans MT" w:hAnsi="Gill Sans MT"/>
          <w:bCs/>
          <w:sz w:val="24"/>
          <w:szCs w:val="24"/>
        </w:rPr>
        <w:t>. Unemployment levels are high and majority of the residents there rely on the informal sector for survival. The absence of an effect</w:t>
      </w:r>
      <w:r>
        <w:rPr>
          <w:rFonts w:ascii="Gill Sans MT" w:hAnsi="Gill Sans MT"/>
          <w:bCs/>
          <w:sz w:val="24"/>
          <w:szCs w:val="24"/>
        </w:rPr>
        <w:t>ive land policy, proper urban governance, and an organised community framework for accessing credit to improve living conditions worsen the situation</w:t>
      </w:r>
      <w:r>
        <w:rPr>
          <w:rStyle w:val="FootnoteReference"/>
          <w:rFonts w:ascii="Gill Sans MT" w:hAnsi="Gill Sans MT"/>
          <w:bCs/>
          <w:sz w:val="24"/>
          <w:szCs w:val="24"/>
        </w:rPr>
        <w:footnoteReference w:id="24"/>
      </w:r>
      <w:r>
        <w:rPr>
          <w:rFonts w:ascii="Gill Sans MT" w:hAnsi="Gill Sans MT"/>
          <w:bCs/>
          <w:sz w:val="24"/>
          <w:szCs w:val="24"/>
        </w:rPr>
        <w:t>.</w:t>
      </w:r>
    </w:p>
    <w:p w14:paraId="5A76392D"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47C4FE3"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lang w:eastAsia="zh-CN"/>
        </w:rPr>
      </w:pPr>
      <w:r>
        <w:rPr>
          <w:rFonts w:ascii="Gill Sans MT" w:hAnsi="Gill Sans MT"/>
          <w:bCs/>
          <w:i/>
          <w:sz w:val="24"/>
          <w:szCs w:val="24"/>
        </w:rPr>
        <w:t>Kibera Integrated Water, Sanitation, and Waste Management Project</w:t>
      </w:r>
      <w:r>
        <w:rPr>
          <w:rFonts w:ascii="Gill Sans MT" w:hAnsi="Gill Sans MT"/>
          <w:bCs/>
          <w:sz w:val="24"/>
          <w:szCs w:val="24"/>
        </w:rPr>
        <w:t xml:space="preserve"> (K-WATS) was a pilot demonstration pr</w:t>
      </w:r>
      <w:r>
        <w:rPr>
          <w:rFonts w:ascii="Gill Sans MT" w:hAnsi="Gill Sans MT"/>
          <w:bCs/>
          <w:sz w:val="24"/>
          <w:szCs w:val="24"/>
        </w:rPr>
        <w:t xml:space="preserve">oject implemented in Soweto East (one of Kibera’s 12 “villages”), which has an estimated population of 70,000. The project was executed as a collaboration between the Government of Kenya, the Kenyan NGO </w:t>
      </w:r>
      <w:r>
        <w:rPr>
          <w:rFonts w:ascii="Gill Sans MT" w:hAnsi="Gill Sans MT"/>
          <w:bCs/>
          <w:i/>
          <w:sz w:val="24"/>
          <w:szCs w:val="24"/>
        </w:rPr>
        <w:t>Maji na Ufanisi</w:t>
      </w:r>
      <w:r>
        <w:rPr>
          <w:rFonts w:ascii="Gill Sans MT" w:hAnsi="Gill Sans MT"/>
          <w:bCs/>
          <w:sz w:val="24"/>
          <w:szCs w:val="24"/>
        </w:rPr>
        <w:t xml:space="preserve"> (Water and Development), local reside</w:t>
      </w:r>
      <w:r>
        <w:rPr>
          <w:rFonts w:ascii="Gill Sans MT" w:hAnsi="Gill Sans MT"/>
          <w:bCs/>
          <w:sz w:val="24"/>
          <w:szCs w:val="24"/>
        </w:rPr>
        <w:t xml:space="preserve">nts, and the private sector. The project was a follow-up of the </w:t>
      </w:r>
      <w:r>
        <w:rPr>
          <w:rFonts w:ascii="Gill Sans MT" w:hAnsi="Gill Sans MT"/>
          <w:bCs/>
          <w:i/>
          <w:sz w:val="24"/>
          <w:szCs w:val="24"/>
        </w:rPr>
        <w:t>Kibera Slum Upgrading Initiative</w:t>
      </w:r>
      <w:r>
        <w:rPr>
          <w:rFonts w:ascii="Gill Sans MT" w:hAnsi="Gill Sans MT"/>
          <w:bCs/>
          <w:sz w:val="24"/>
          <w:szCs w:val="24"/>
        </w:rPr>
        <w:t>, which was concluded in June 2004 and achieved the following: 1) institutional structures were established within Soweto East, including a settlement executive</w:t>
      </w:r>
      <w:r>
        <w:rPr>
          <w:rFonts w:ascii="Gill Sans MT" w:hAnsi="Gill Sans MT"/>
          <w:bCs/>
          <w:sz w:val="24"/>
          <w:szCs w:val="24"/>
        </w:rPr>
        <w:t xml:space="preserve"> committee, a programme implementation unit, and an inter-agency coordination committee; 2) physical mapping and socio-economic analysis of Soweto East were completed in collaboration with the Government of Kenya; 3) a draft master plan for Kibera was comp</w:t>
      </w:r>
      <w:r>
        <w:rPr>
          <w:rFonts w:ascii="Gill Sans MT" w:hAnsi="Gill Sans MT"/>
          <w:bCs/>
          <w:sz w:val="24"/>
          <w:szCs w:val="24"/>
        </w:rPr>
        <w:t xml:space="preserve">leted; and 4) construction of 600 relocation houses at the Lang’ata decanting site was initiated. The project </w:t>
      </w:r>
      <w:r>
        <w:rPr>
          <w:rFonts w:ascii="Gill Sans MT" w:hAnsi="Gill Sans MT"/>
          <w:bCs/>
          <w:sz w:val="24"/>
          <w:szCs w:val="24"/>
          <w:lang w:eastAsia="zh-CN"/>
        </w:rPr>
        <w:t xml:space="preserve">was a community-based water </w:t>
      </w:r>
      <w:r>
        <w:rPr>
          <w:rFonts w:ascii="Gill Sans MT" w:hAnsi="Gill Sans MT"/>
          <w:bCs/>
          <w:sz w:val="24"/>
          <w:szCs w:val="24"/>
          <w:lang w:eastAsia="zh-CN"/>
        </w:rPr>
        <w:lastRenderedPageBreak/>
        <w:t xml:space="preserve">and sanitation intervention in Soweto East that had partnerships, sustainability, inclusion, and participation as its </w:t>
      </w:r>
      <w:r>
        <w:rPr>
          <w:rFonts w:ascii="Gill Sans MT" w:hAnsi="Gill Sans MT"/>
          <w:bCs/>
          <w:sz w:val="24"/>
          <w:szCs w:val="24"/>
          <w:lang w:eastAsia="zh-CN"/>
        </w:rPr>
        <w:t>guiding principles. It initiated accountable governance frameworks to support small-scale community-based initiatives in water, sanitation and waste management.</w:t>
      </w:r>
    </w:p>
    <w:p w14:paraId="3011777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9207BA0"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project aimed to improve the livelihoods of people living in Soweto East by supporting sma</w:t>
      </w:r>
      <w:r>
        <w:rPr>
          <w:rFonts w:ascii="Gill Sans MT" w:hAnsi="Gill Sans MT"/>
          <w:bCs/>
          <w:sz w:val="24"/>
          <w:szCs w:val="24"/>
        </w:rPr>
        <w:t>ll-scale, community-based initiatives in water, sanitation, and waste management, and by providing basic services, infrastructure, and capacity building. In summary, the project had the following main achievements:</w:t>
      </w:r>
    </w:p>
    <w:p w14:paraId="5E3384D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97BEC2A"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Water, sanitation, and waste management </w:t>
      </w:r>
      <w:r>
        <w:rPr>
          <w:rFonts w:ascii="Gill Sans MT" w:hAnsi="Gill Sans MT"/>
          <w:bCs/>
          <w:sz w:val="24"/>
          <w:szCs w:val="24"/>
        </w:rPr>
        <w:t>conditions improved through the provision of storm water drains, communal water and sanitation facilities, and small-scale, door-to-door waste collection and recycling services.</w:t>
      </w:r>
    </w:p>
    <w:p w14:paraId="22201313"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overall mobility of residents improved after the construction of a low-vol</w:t>
      </w:r>
      <w:r>
        <w:rPr>
          <w:rFonts w:ascii="Gill Sans MT" w:hAnsi="Gill Sans MT"/>
          <w:bCs/>
          <w:sz w:val="24"/>
          <w:szCs w:val="24"/>
        </w:rPr>
        <w:t>ume road, which took into account the needs of non-motorised transportation users.</w:t>
      </w:r>
    </w:p>
    <w:p w14:paraId="438897A5"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Non-motorised transport was established as an alternative and efficient tool for creating new income-generation and business opportunities and achieving comprehensive, susta</w:t>
      </w:r>
      <w:r>
        <w:rPr>
          <w:rFonts w:ascii="Gill Sans MT" w:hAnsi="Gill Sans MT"/>
          <w:bCs/>
          <w:sz w:val="24"/>
          <w:szCs w:val="24"/>
        </w:rPr>
        <w:t>inable, and cost-effective urban mobility.</w:t>
      </w:r>
    </w:p>
    <w:p w14:paraId="6A2E6350"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Providing household power connections in conjunction with the Kenya Power and Lighting Company enhanced access to modern energy.</w:t>
      </w:r>
    </w:p>
    <w:p w14:paraId="10A4F41E"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Information and technology skills were enhanced among the population through the est</w:t>
      </w:r>
      <w:r>
        <w:rPr>
          <w:rFonts w:ascii="Gill Sans MT" w:hAnsi="Gill Sans MT"/>
          <w:bCs/>
          <w:sz w:val="24"/>
          <w:szCs w:val="24"/>
        </w:rPr>
        <w:t>ablishment of a Community Information and Communication Technology Centre.</w:t>
      </w:r>
    </w:p>
    <w:p w14:paraId="2335E6A3" w14:textId="77777777" w:rsidR="00E258FD" w:rsidRDefault="001372B9">
      <w:pPr>
        <w:pStyle w:val="ListParagraph"/>
        <w:numPr>
          <w:ilvl w:val="0"/>
          <w:numId w:val="1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institutional and technical capacities of selected key target groups – community-based organizations, informal traders, local authorities – were strengthened by conducting train</w:t>
      </w:r>
      <w:r>
        <w:rPr>
          <w:rFonts w:ascii="Gill Sans MT" w:hAnsi="Gill Sans MT"/>
          <w:bCs/>
          <w:sz w:val="24"/>
          <w:szCs w:val="24"/>
        </w:rPr>
        <w:t>ing courses in project management, entrepreneurship, micro enterprise skills development, and information technology.</w:t>
      </w:r>
    </w:p>
    <w:p w14:paraId="65DDB67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5AE8087" w14:textId="77777777" w:rsidR="00E258FD" w:rsidRDefault="001372B9">
      <w:pPr>
        <w:pStyle w:val="Heading3"/>
        <w:spacing w:before="0" w:beforeAutospacing="0" w:line="360" w:lineRule="auto"/>
        <w:rPr>
          <w:rFonts w:ascii="Gill Sans MT" w:hAnsi="Gill Sans MT"/>
          <w:i/>
          <w:color w:val="538135"/>
          <w:sz w:val="24"/>
          <w:szCs w:val="24"/>
        </w:rPr>
      </w:pPr>
      <w:bookmarkStart w:id="26" w:name="_Toc106369902"/>
      <w:r>
        <w:rPr>
          <w:rFonts w:ascii="Gill Sans MT" w:hAnsi="Gill Sans MT"/>
          <w:i/>
          <w:color w:val="538135"/>
          <w:sz w:val="24"/>
          <w:szCs w:val="24"/>
        </w:rPr>
        <w:t>2.2.2 Sustainable Neighbourhood Programme, Mavoko</w:t>
      </w:r>
      <w:bookmarkEnd w:id="26"/>
    </w:p>
    <w:p w14:paraId="1285677B"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Mavoko has grown into an industrial town and has benefited from the establishment of the Export Processing Zone and a growing number of other industrial entities: mines, distilleries, quarries, and flower farms and other horticultural ventures. The town ha</w:t>
      </w:r>
      <w:r>
        <w:rPr>
          <w:rFonts w:ascii="Gill Sans MT" w:hAnsi="Gill Sans MT"/>
          <w:bCs/>
          <w:sz w:val="24"/>
          <w:szCs w:val="24"/>
        </w:rPr>
        <w:t xml:space="preserve">s an estimated population of 65,000 and despite its close proximity to Nairobi, the communities in the area are quite rural. </w:t>
      </w:r>
      <w:r>
        <w:rPr>
          <w:rFonts w:ascii="Gill Sans MT" w:hAnsi="Gill Sans MT"/>
          <w:bCs/>
          <w:sz w:val="24"/>
          <w:szCs w:val="24"/>
        </w:rPr>
        <w:lastRenderedPageBreak/>
        <w:t>There are some 25 rapidly expanding informal settlements that have emerged around the town. These are characterised by lack of acce</w:t>
      </w:r>
      <w:r>
        <w:rPr>
          <w:rFonts w:ascii="Gill Sans MT" w:hAnsi="Gill Sans MT"/>
          <w:bCs/>
          <w:sz w:val="24"/>
          <w:szCs w:val="24"/>
        </w:rPr>
        <w:t>ss to formal housing and land markets, inadequate access to water and sanitation, self-built structures made of poor building materials, and acute security and health problems</w:t>
      </w:r>
      <w:r>
        <w:rPr>
          <w:rStyle w:val="FootnoteReference"/>
          <w:rFonts w:ascii="Gill Sans MT" w:hAnsi="Gill Sans MT"/>
          <w:bCs/>
          <w:sz w:val="24"/>
          <w:szCs w:val="24"/>
        </w:rPr>
        <w:footnoteReference w:id="25"/>
      </w:r>
      <w:r>
        <w:rPr>
          <w:rFonts w:ascii="Gill Sans MT" w:hAnsi="Gill Sans MT"/>
          <w:bCs/>
          <w:sz w:val="24"/>
          <w:szCs w:val="24"/>
        </w:rPr>
        <w:t>.</w:t>
      </w:r>
    </w:p>
    <w:p w14:paraId="22DF822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390A293"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i/>
          <w:sz w:val="24"/>
          <w:szCs w:val="24"/>
        </w:rPr>
        <w:t>The Sustainable Neighbourhood Programme</w:t>
      </w:r>
      <w:r>
        <w:rPr>
          <w:rFonts w:ascii="Gill Sans MT" w:hAnsi="Gill Sans MT"/>
          <w:bCs/>
          <w:sz w:val="24"/>
          <w:szCs w:val="24"/>
        </w:rPr>
        <w:t xml:space="preserve"> (SNP) was a pilot slum resettlement p</w:t>
      </w:r>
      <w:r>
        <w:rPr>
          <w:rFonts w:ascii="Gill Sans MT" w:hAnsi="Gill Sans MT"/>
          <w:bCs/>
          <w:sz w:val="24"/>
          <w:szCs w:val="24"/>
        </w:rPr>
        <w:t>rogramme relocating slum dwellers to a piece of land in Athi River, which was made available by the Government of Kenya, exchanged in a debt swap with the Government of Finland. The SNP promoted broad-based participation of all the stakeholders and was imp</w:t>
      </w:r>
      <w:r>
        <w:rPr>
          <w:rFonts w:ascii="Gill Sans MT" w:hAnsi="Gill Sans MT"/>
          <w:bCs/>
          <w:sz w:val="24"/>
          <w:szCs w:val="24"/>
        </w:rPr>
        <w:t xml:space="preserve">lemented together with the Government of Kenya, the Sub County of Mavoko, local NGOs, private companies, and local communities. It was a self-help housing project linked to capacity building and income generation, through which slum dwellers were to build </w:t>
      </w:r>
      <w:r>
        <w:rPr>
          <w:rFonts w:ascii="Gill Sans MT" w:hAnsi="Gill Sans MT"/>
          <w:bCs/>
          <w:sz w:val="24"/>
          <w:szCs w:val="24"/>
        </w:rPr>
        <w:t>their own homes. The main goals of the SNP were to improve local governance and strengthen the capacity and role of the informal and the community sectors in developing sustainable neighbourhoods</w:t>
      </w:r>
      <w:r>
        <w:rPr>
          <w:rStyle w:val="FootnoteReference"/>
          <w:rFonts w:ascii="Gill Sans MT" w:hAnsi="Gill Sans MT"/>
          <w:bCs/>
          <w:sz w:val="24"/>
          <w:szCs w:val="24"/>
        </w:rPr>
        <w:footnoteReference w:id="26"/>
      </w:r>
      <w:r>
        <w:rPr>
          <w:rFonts w:ascii="Gill Sans MT" w:hAnsi="Gill Sans MT"/>
          <w:bCs/>
          <w:sz w:val="24"/>
          <w:szCs w:val="24"/>
        </w:rPr>
        <w:t xml:space="preserve">. UN-HABITAT’s aim with this pilot project was to test new, </w:t>
      </w:r>
      <w:r>
        <w:rPr>
          <w:rFonts w:ascii="Gill Sans MT" w:hAnsi="Gill Sans MT"/>
          <w:bCs/>
          <w:sz w:val="24"/>
          <w:szCs w:val="24"/>
        </w:rPr>
        <w:t>innovative approaches to slum upgrading in Kenya and develop a comprehensive housing package, including a finance component that will enable slum dwellers to improve their housing and other living conditions (</w:t>
      </w:r>
      <w:r>
        <w:rPr>
          <w:rFonts w:ascii="Gill Sans MT" w:hAnsi="Gill Sans MT"/>
          <w:sz w:val="24"/>
          <w:szCs w:val="24"/>
        </w:rPr>
        <w:t>Candiracci &amp; Syrjanen, 2007</w:t>
      </w:r>
      <w:r>
        <w:rPr>
          <w:rFonts w:ascii="Gill Sans MT" w:hAnsi="Gill Sans MT"/>
          <w:bCs/>
          <w:sz w:val="24"/>
          <w:szCs w:val="24"/>
        </w:rPr>
        <w:t>).</w:t>
      </w:r>
    </w:p>
    <w:p w14:paraId="0EB9D92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ACBF7BF"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Some of the </w:t>
      </w:r>
      <w:r>
        <w:rPr>
          <w:rFonts w:ascii="Gill Sans MT" w:hAnsi="Gill Sans MT"/>
          <w:bCs/>
          <w:sz w:val="24"/>
          <w:szCs w:val="24"/>
        </w:rPr>
        <w:t>main achievements for this initiative include the following:</w:t>
      </w:r>
    </w:p>
    <w:p w14:paraId="4DEC20A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6AE287E"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 socio-economic profile and situation analysis of Mavoko’s slums were completed.</w:t>
      </w:r>
    </w:p>
    <w:p w14:paraId="12546AF4"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implementation of community action plans reinforced community organization.</w:t>
      </w:r>
    </w:p>
    <w:p w14:paraId="4B97CBCF"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formation of housing coopera</w:t>
      </w:r>
      <w:r>
        <w:rPr>
          <w:rFonts w:ascii="Gill Sans MT" w:hAnsi="Gill Sans MT"/>
          <w:bCs/>
          <w:sz w:val="24"/>
          <w:szCs w:val="24"/>
        </w:rPr>
        <w:t>tives was completed.</w:t>
      </w:r>
    </w:p>
    <w:p w14:paraId="1972B4BF"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 broad-based partnership of the main stakeholders was formed with an effective project structure.</w:t>
      </w:r>
    </w:p>
    <w:p w14:paraId="608CB01E"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 master plan and house designs for the SNP site were finalized.</w:t>
      </w:r>
    </w:p>
    <w:p w14:paraId="104D5999"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lastRenderedPageBreak/>
        <w:t>A Mavoko SNP sub-office was set up within the sub-county of Mavoko, wit</w:t>
      </w:r>
      <w:r>
        <w:rPr>
          <w:rFonts w:ascii="Gill Sans MT" w:hAnsi="Gill Sans MT"/>
          <w:bCs/>
          <w:sz w:val="24"/>
          <w:szCs w:val="24"/>
        </w:rPr>
        <w:t>h three local community coordinators working on community Mobilisation.</w:t>
      </w:r>
    </w:p>
    <w:p w14:paraId="02730F3D" w14:textId="77777777" w:rsidR="00E258FD" w:rsidRDefault="001372B9">
      <w:pPr>
        <w:pStyle w:val="ListParagraph"/>
        <w:numPr>
          <w:ilvl w:val="0"/>
          <w:numId w:val="11"/>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 training programme in self-help housing for community members was initiated.</w:t>
      </w:r>
    </w:p>
    <w:p w14:paraId="131C43AC" w14:textId="77777777" w:rsidR="00E258FD" w:rsidRDefault="00E258FD">
      <w:pPr>
        <w:pStyle w:val="Heading3"/>
        <w:spacing w:before="0" w:beforeAutospacing="0" w:line="360" w:lineRule="auto"/>
        <w:rPr>
          <w:rFonts w:ascii="Gill Sans MT" w:hAnsi="Gill Sans MT"/>
          <w:i/>
          <w:color w:val="538135"/>
          <w:sz w:val="24"/>
          <w:szCs w:val="24"/>
        </w:rPr>
      </w:pPr>
    </w:p>
    <w:p w14:paraId="3E5CCCEB" w14:textId="77777777" w:rsidR="00E258FD" w:rsidRDefault="001372B9">
      <w:pPr>
        <w:pStyle w:val="Heading3"/>
        <w:spacing w:before="0" w:beforeAutospacing="0" w:line="360" w:lineRule="auto"/>
        <w:rPr>
          <w:rFonts w:ascii="Gill Sans MT" w:hAnsi="Gill Sans MT"/>
          <w:i/>
          <w:color w:val="538135"/>
          <w:sz w:val="24"/>
          <w:szCs w:val="24"/>
        </w:rPr>
      </w:pPr>
      <w:bookmarkStart w:id="27" w:name="_Toc106369903"/>
      <w:r>
        <w:rPr>
          <w:rFonts w:ascii="Gill Sans MT" w:hAnsi="Gill Sans MT"/>
          <w:i/>
          <w:color w:val="538135"/>
          <w:sz w:val="24"/>
          <w:szCs w:val="24"/>
        </w:rPr>
        <w:t>2.2.3 Provision Of Basic Services In Selected Slum Settlements In Kahawa Soweto, Nairobi</w:t>
      </w:r>
      <w:bookmarkEnd w:id="27"/>
    </w:p>
    <w:p w14:paraId="092E1D07"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Kahawa Soweto i</w:t>
      </w:r>
      <w:r>
        <w:rPr>
          <w:rFonts w:ascii="Gill Sans MT" w:hAnsi="Gill Sans MT"/>
          <w:bCs/>
          <w:sz w:val="24"/>
          <w:szCs w:val="24"/>
        </w:rPr>
        <w:t>s located in the north-eastern part of Nairobi, with a population of about 7,000 people who live in 700 structures on approximately 15 acres of land. Lack of basic services and infrastructure, high unemployment levels, and lack of security of tenure typify</w:t>
      </w:r>
      <w:r>
        <w:rPr>
          <w:rFonts w:ascii="Gill Sans MT" w:hAnsi="Gill Sans MT"/>
          <w:bCs/>
          <w:sz w:val="24"/>
          <w:szCs w:val="24"/>
        </w:rPr>
        <w:t xml:space="preserve"> the living conditions in Kahawa Soweto. </w:t>
      </w:r>
    </w:p>
    <w:p w14:paraId="491C5E39"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05791E3"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UN-HABITAT implemented the Kahawa Soweto Project in collaboration with the Government of Kenya, Nairobi County, Roman Catholic parishes in the area, and local residents. The overall objective of the project was to</w:t>
      </w:r>
      <w:r>
        <w:rPr>
          <w:rFonts w:ascii="Gill Sans MT" w:hAnsi="Gill Sans MT"/>
          <w:bCs/>
          <w:sz w:val="24"/>
          <w:szCs w:val="24"/>
        </w:rPr>
        <w:t xml:space="preserve"> support the improvement of living conditions of people residing and working in Kahawa Soweto through targeted demonstration activities, such as the improvement of basic services and infrastructure, the promotion of secure tenure, and micro enterprise deve</w:t>
      </w:r>
      <w:r>
        <w:rPr>
          <w:rFonts w:ascii="Gill Sans MT" w:hAnsi="Gill Sans MT"/>
          <w:bCs/>
          <w:sz w:val="24"/>
          <w:szCs w:val="24"/>
        </w:rPr>
        <w:t>lopment</w:t>
      </w:r>
      <w:r>
        <w:rPr>
          <w:rStyle w:val="FootnoteReference"/>
          <w:rFonts w:ascii="Gill Sans MT" w:hAnsi="Gill Sans MT"/>
          <w:bCs/>
          <w:sz w:val="24"/>
          <w:szCs w:val="24"/>
        </w:rPr>
        <w:footnoteReference w:id="27"/>
      </w:r>
      <w:r>
        <w:rPr>
          <w:rFonts w:ascii="Gill Sans MT" w:hAnsi="Gill Sans MT"/>
          <w:bCs/>
          <w:sz w:val="24"/>
          <w:szCs w:val="24"/>
        </w:rPr>
        <w:t>. The key achievements of this initiative were:</w:t>
      </w:r>
    </w:p>
    <w:p w14:paraId="1A84A1D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D423A14" w14:textId="77777777" w:rsidR="00E258FD" w:rsidRDefault="001372B9">
      <w:pPr>
        <w:pStyle w:val="ListParagraph"/>
        <w:numPr>
          <w:ilvl w:val="0"/>
          <w:numId w:val="12"/>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Consensus was built on the scope of the programme and the respective activities within the slum.</w:t>
      </w:r>
    </w:p>
    <w:p w14:paraId="20BB0435" w14:textId="77777777" w:rsidR="00E258FD" w:rsidRDefault="001372B9">
      <w:pPr>
        <w:pStyle w:val="ListParagraph"/>
        <w:numPr>
          <w:ilvl w:val="0"/>
          <w:numId w:val="12"/>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An action plan and an implementation strategy for the sustainable delivery of the agreed basic service</w:t>
      </w:r>
      <w:r>
        <w:rPr>
          <w:rFonts w:ascii="Gill Sans MT" w:hAnsi="Gill Sans MT"/>
          <w:bCs/>
          <w:sz w:val="24"/>
          <w:szCs w:val="24"/>
        </w:rPr>
        <w:t>s were developed.</w:t>
      </w:r>
    </w:p>
    <w:p w14:paraId="419D314E" w14:textId="77777777" w:rsidR="00E258FD" w:rsidRDefault="001372B9">
      <w:pPr>
        <w:pStyle w:val="ListParagraph"/>
        <w:numPr>
          <w:ilvl w:val="0"/>
          <w:numId w:val="12"/>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Public facilities – toilets, an access road, garbage collection points, and a resource centre – were constructed using community labour.</w:t>
      </w:r>
    </w:p>
    <w:p w14:paraId="46796530" w14:textId="77777777" w:rsidR="00E258FD" w:rsidRDefault="001372B9">
      <w:pPr>
        <w:pStyle w:val="ListParagraph"/>
        <w:numPr>
          <w:ilvl w:val="0"/>
          <w:numId w:val="12"/>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Community participation in settlement planning was secured.</w:t>
      </w:r>
    </w:p>
    <w:p w14:paraId="3A2BB2D6" w14:textId="77777777" w:rsidR="00E258FD" w:rsidRDefault="001372B9">
      <w:pPr>
        <w:pStyle w:val="ListParagraph"/>
        <w:numPr>
          <w:ilvl w:val="0"/>
          <w:numId w:val="12"/>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A community land trust option for </w:t>
      </w:r>
      <w:r>
        <w:rPr>
          <w:rFonts w:ascii="Gill Sans MT" w:hAnsi="Gill Sans MT"/>
          <w:bCs/>
          <w:sz w:val="24"/>
          <w:szCs w:val="24"/>
        </w:rPr>
        <w:t>secure tenure was adopted</w:t>
      </w:r>
    </w:p>
    <w:p w14:paraId="397891C3"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17CAD65" w14:textId="77777777" w:rsidR="00E258FD" w:rsidRDefault="001372B9">
      <w:pPr>
        <w:pStyle w:val="Heading3"/>
        <w:spacing w:before="0" w:beforeAutospacing="0" w:line="360" w:lineRule="auto"/>
        <w:rPr>
          <w:rFonts w:ascii="Gill Sans MT" w:hAnsi="Gill Sans MT"/>
          <w:i/>
          <w:color w:val="538135"/>
          <w:sz w:val="24"/>
          <w:szCs w:val="24"/>
        </w:rPr>
      </w:pPr>
      <w:bookmarkStart w:id="28" w:name="_Toc106369904"/>
      <w:r>
        <w:rPr>
          <w:rFonts w:ascii="Gill Sans MT" w:hAnsi="Gill Sans MT"/>
          <w:i/>
          <w:color w:val="538135"/>
          <w:sz w:val="24"/>
          <w:szCs w:val="24"/>
        </w:rPr>
        <w:lastRenderedPageBreak/>
        <w:t>2.2.4 Mombasa Slum Upgrading Programme</w:t>
      </w:r>
      <w:bookmarkEnd w:id="28"/>
    </w:p>
    <w:p w14:paraId="0714E771"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Mombasa is situated in the south-eastern part of the Kenyan coast and has a population of about 1 million people. In spite of its strategic economic location, about 44 percent of residents l</w:t>
      </w:r>
      <w:r>
        <w:rPr>
          <w:rFonts w:ascii="Gill Sans MT" w:hAnsi="Gill Sans MT"/>
          <w:bCs/>
          <w:sz w:val="24"/>
          <w:szCs w:val="24"/>
        </w:rPr>
        <w:t>ive below the poverty line</w:t>
      </w:r>
      <w:r>
        <w:rPr>
          <w:rStyle w:val="FootnoteReference"/>
          <w:rFonts w:ascii="Gill Sans MT" w:hAnsi="Gill Sans MT"/>
          <w:bCs/>
          <w:sz w:val="24"/>
          <w:szCs w:val="24"/>
        </w:rPr>
        <w:footnoteReference w:id="28"/>
      </w:r>
      <w:r>
        <w:rPr>
          <w:rFonts w:ascii="Gill Sans MT" w:hAnsi="Gill Sans MT"/>
          <w:bCs/>
          <w:sz w:val="24"/>
          <w:szCs w:val="24"/>
        </w:rPr>
        <w:t>. Poor urban planning is closely associated with the unchecked sprawl of densely populated informal settlements, which generally lack basic services.</w:t>
      </w:r>
    </w:p>
    <w:p w14:paraId="47FF952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30A7886"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broad aim of the </w:t>
      </w:r>
      <w:r>
        <w:rPr>
          <w:rFonts w:ascii="Gill Sans MT" w:hAnsi="Gill Sans MT"/>
          <w:bCs/>
          <w:i/>
          <w:sz w:val="24"/>
          <w:szCs w:val="24"/>
        </w:rPr>
        <w:t>Mombasa Slum Upgrading Programme</w:t>
      </w:r>
      <w:r>
        <w:rPr>
          <w:rFonts w:ascii="Gill Sans MT" w:hAnsi="Gill Sans MT"/>
          <w:bCs/>
          <w:sz w:val="24"/>
          <w:szCs w:val="24"/>
        </w:rPr>
        <w:t xml:space="preserve"> was to initiate and supp</w:t>
      </w:r>
      <w:r>
        <w:rPr>
          <w:rFonts w:ascii="Gill Sans MT" w:hAnsi="Gill Sans MT"/>
          <w:bCs/>
          <w:sz w:val="24"/>
          <w:szCs w:val="24"/>
        </w:rPr>
        <w:t>ort the upgrading of selected informal settlements in Mombasa and significantly improve living conditions and livelihoods as a means of alleviating poverty. More specifically, the goals were to conduct a situation analysis of Mombasa’s slums, to prepare an</w:t>
      </w:r>
      <w:r>
        <w:rPr>
          <w:rFonts w:ascii="Gill Sans MT" w:hAnsi="Gill Sans MT"/>
          <w:bCs/>
          <w:sz w:val="24"/>
          <w:szCs w:val="24"/>
        </w:rPr>
        <w:t xml:space="preserve"> action plan – for upgrading the settlements and identify potential sources of funding – and to undertake the construction of demonstration projects for basic services, focusing on water and sanitation</w:t>
      </w:r>
      <w:r>
        <w:rPr>
          <w:rStyle w:val="FootnoteReference"/>
          <w:rFonts w:ascii="Gill Sans MT" w:hAnsi="Gill Sans MT"/>
          <w:bCs/>
          <w:sz w:val="24"/>
          <w:szCs w:val="24"/>
        </w:rPr>
        <w:footnoteReference w:id="29"/>
      </w:r>
      <w:r>
        <w:rPr>
          <w:rFonts w:ascii="Gill Sans MT" w:hAnsi="Gill Sans MT"/>
          <w:bCs/>
          <w:sz w:val="24"/>
          <w:szCs w:val="24"/>
        </w:rPr>
        <w:t>.</w:t>
      </w:r>
    </w:p>
    <w:p w14:paraId="33BE87B8"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F696BEC"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programme started in May 2007 with a pilot demo</w:t>
      </w:r>
      <w:r>
        <w:rPr>
          <w:rFonts w:ascii="Gill Sans MT" w:hAnsi="Gill Sans MT"/>
          <w:bCs/>
          <w:sz w:val="24"/>
          <w:szCs w:val="24"/>
        </w:rPr>
        <w:t>nstration project in Ziwa la Ng’ombe slum, which has a population of about 20,000. The programme was a joint collaboration with the Government of Kenya, the County Government of Mombasa, the Mombasa Water and Sewerage Company, and the World Bank.</w:t>
      </w:r>
    </w:p>
    <w:p w14:paraId="7A5DFA8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261C772" w14:textId="77777777" w:rsidR="00E258FD" w:rsidRDefault="001372B9">
      <w:pPr>
        <w:pStyle w:val="Heading3"/>
        <w:spacing w:before="0" w:beforeAutospacing="0" w:line="360" w:lineRule="auto"/>
        <w:rPr>
          <w:rFonts w:ascii="Gill Sans MT" w:hAnsi="Gill Sans MT"/>
          <w:i/>
          <w:color w:val="538135"/>
          <w:sz w:val="24"/>
          <w:szCs w:val="24"/>
        </w:rPr>
      </w:pPr>
      <w:bookmarkStart w:id="29" w:name="_Toc106369905"/>
      <w:r>
        <w:rPr>
          <w:rFonts w:ascii="Gill Sans MT" w:hAnsi="Gill Sans MT"/>
          <w:i/>
          <w:color w:val="538135"/>
          <w:sz w:val="24"/>
          <w:szCs w:val="24"/>
        </w:rPr>
        <w:t>2.2.5 Ci</w:t>
      </w:r>
      <w:r>
        <w:rPr>
          <w:rFonts w:ascii="Gill Sans MT" w:hAnsi="Gill Sans MT"/>
          <w:i/>
          <w:color w:val="538135"/>
          <w:sz w:val="24"/>
          <w:szCs w:val="24"/>
        </w:rPr>
        <w:t>ties without slums, Kisumu</w:t>
      </w:r>
      <w:bookmarkEnd w:id="29"/>
    </w:p>
    <w:p w14:paraId="7C2D1A2E"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Kisumu is the third largest city in Kenya. It is a regional capital and an administrative, commercial, and industrial centre for the Lake Victoria basin. Its rich endowments, such as the lake itself and fertile agricultural land,</w:t>
      </w:r>
      <w:r>
        <w:rPr>
          <w:rFonts w:ascii="Gill Sans MT" w:hAnsi="Gill Sans MT"/>
          <w:bCs/>
          <w:sz w:val="24"/>
          <w:szCs w:val="24"/>
        </w:rPr>
        <w:t xml:space="preserve"> gave rise to a thriving economy that provided employment opportunities in the fishery industry and through the large-scale production of molasses, cotton, rice, and sugar. Despite its rich resource base, Kisumu is still one of the poorest cities in Kenya </w:t>
      </w:r>
      <w:r>
        <w:rPr>
          <w:rFonts w:ascii="Gill Sans MT" w:hAnsi="Gill Sans MT"/>
          <w:bCs/>
          <w:sz w:val="24"/>
          <w:szCs w:val="24"/>
        </w:rPr>
        <w:t>and food insecurity, growing urban poverty, and the high prevalence of HIV/AIDS are key concerns (</w:t>
      </w:r>
      <w:r>
        <w:rPr>
          <w:rFonts w:ascii="Gill Sans MT" w:hAnsi="Gill Sans MT"/>
          <w:sz w:val="24"/>
          <w:szCs w:val="24"/>
        </w:rPr>
        <w:t>Candiracci &amp; Syrjanen, 2007</w:t>
      </w:r>
      <w:r>
        <w:rPr>
          <w:rFonts w:ascii="Gill Sans MT" w:hAnsi="Gill Sans MT"/>
          <w:bCs/>
          <w:sz w:val="24"/>
          <w:szCs w:val="24"/>
        </w:rPr>
        <w:t>). The city has approximately 500,000 inhabitants, of which about 60 percent live in slums. The slums lack planning and basic servi</w:t>
      </w:r>
      <w:r>
        <w:rPr>
          <w:rFonts w:ascii="Gill Sans MT" w:hAnsi="Gill Sans MT"/>
          <w:bCs/>
          <w:sz w:val="24"/>
          <w:szCs w:val="24"/>
        </w:rPr>
        <w:t xml:space="preserve">ces, and have high densities and poor </w:t>
      </w:r>
      <w:r>
        <w:rPr>
          <w:rFonts w:ascii="Gill Sans MT" w:hAnsi="Gill Sans MT"/>
          <w:bCs/>
          <w:sz w:val="24"/>
          <w:szCs w:val="24"/>
        </w:rPr>
        <w:lastRenderedPageBreak/>
        <w:t xml:space="preserve">infrastructure. Half of the slum residents obtain their water from unsafe sources, resulting in high rates of water-and-sanitation-related diseases and morbidity. Refuse collection efficiency is a mere 20 percent, and </w:t>
      </w:r>
      <w:r>
        <w:rPr>
          <w:rFonts w:ascii="Gill Sans MT" w:hAnsi="Gill Sans MT"/>
          <w:bCs/>
          <w:sz w:val="24"/>
          <w:szCs w:val="24"/>
        </w:rPr>
        <w:t>only 10 percent of residents have sewerage connections.</w:t>
      </w:r>
    </w:p>
    <w:p w14:paraId="695258A3"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71F54C9"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i/>
          <w:sz w:val="24"/>
          <w:szCs w:val="24"/>
        </w:rPr>
        <w:t>The Cities Without Slums programme</w:t>
      </w:r>
      <w:r>
        <w:rPr>
          <w:rFonts w:ascii="Gill Sans MT" w:hAnsi="Gill Sans MT"/>
          <w:bCs/>
          <w:sz w:val="24"/>
          <w:szCs w:val="24"/>
        </w:rPr>
        <w:t xml:space="preserve"> was implemented by UN-HABITAT in collaboration with the Government of Kenya, the Kisumu County, Maseno University, Sustainable Aid in Africa International, Kisumu W</w:t>
      </w:r>
      <w:r>
        <w:rPr>
          <w:rFonts w:ascii="Gill Sans MT" w:hAnsi="Gill Sans MT"/>
          <w:bCs/>
          <w:sz w:val="24"/>
          <w:szCs w:val="24"/>
        </w:rPr>
        <w:t xml:space="preserve">ater and Sewerage Company, and the private sector. The programme aimed to use participatory interventions to improve the livelihoods of people living and working in Kisumu’s slums by promoting and facilitating income generation and the provision of secure </w:t>
      </w:r>
      <w:r>
        <w:rPr>
          <w:rFonts w:ascii="Gill Sans MT" w:hAnsi="Gill Sans MT"/>
          <w:bCs/>
          <w:sz w:val="24"/>
          <w:szCs w:val="24"/>
        </w:rPr>
        <w:t>tenure, improving housing, physical and social infrastructure. To realise these objectives, the programme had an inception phase, a preparatory phase, an implementation phase, and a replication phase. UN-HABITAT’s inputs focused on the two first phases: bu</w:t>
      </w:r>
      <w:r>
        <w:rPr>
          <w:rFonts w:ascii="Gill Sans MT" w:hAnsi="Gill Sans MT"/>
          <w:bCs/>
          <w:sz w:val="24"/>
          <w:szCs w:val="24"/>
        </w:rPr>
        <w:t>ilding the capacity of the County government of Kisumu in GIS and urban planning, and undertaking a situation analysis and socio-economic mapping of Kisumu’s informal settlements. The main achievements of this project can be summarized as follows:</w:t>
      </w:r>
    </w:p>
    <w:p w14:paraId="28046841" w14:textId="77777777" w:rsidR="00E258FD" w:rsidRDefault="001372B9">
      <w:pPr>
        <w:pStyle w:val="ListParagraph"/>
        <w:numPr>
          <w:ilvl w:val="0"/>
          <w:numId w:val="13"/>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Inceptio</w:t>
      </w:r>
      <w:r>
        <w:rPr>
          <w:rFonts w:ascii="Gill Sans MT" w:hAnsi="Gill Sans MT"/>
          <w:b/>
          <w:bCs/>
          <w:i/>
          <w:sz w:val="24"/>
          <w:szCs w:val="24"/>
        </w:rPr>
        <w:t>n phase</w:t>
      </w:r>
      <w:r>
        <w:rPr>
          <w:rFonts w:ascii="Gill Sans MT" w:hAnsi="Gill Sans MT"/>
          <w:bCs/>
          <w:sz w:val="24"/>
          <w:szCs w:val="24"/>
        </w:rPr>
        <w:t xml:space="preserve">: A situation analysis of Kisumu’s informal settlements was completed, published, and distributed. It proposed an integrated approach to slum upgrading, focusing on security of tenure, improvement of basic infrastructure, housing, health, </w:t>
      </w:r>
      <w:r>
        <w:rPr>
          <w:rFonts w:ascii="Gill Sans MT" w:hAnsi="Gill Sans MT"/>
          <w:bCs/>
          <w:sz w:val="24"/>
          <w:szCs w:val="24"/>
        </w:rPr>
        <w:t>social services, and the environment. An action plan was developed for the improvement of the informal settlements, with each informal settlement identifying their own priorities.</w:t>
      </w:r>
    </w:p>
    <w:p w14:paraId="4C205928" w14:textId="77777777" w:rsidR="00E258FD" w:rsidRDefault="001372B9">
      <w:pPr>
        <w:pStyle w:val="ListParagraph"/>
        <w:numPr>
          <w:ilvl w:val="0"/>
          <w:numId w:val="13"/>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Preparatory phase:</w:t>
      </w:r>
      <w:r>
        <w:rPr>
          <w:rFonts w:ascii="Gill Sans MT" w:hAnsi="Gill Sans MT"/>
          <w:bCs/>
          <w:sz w:val="24"/>
          <w:szCs w:val="24"/>
        </w:rPr>
        <w:t xml:space="preserve"> A GIS lab was established at the county, the social mappi</w:t>
      </w:r>
      <w:r>
        <w:rPr>
          <w:rFonts w:ascii="Gill Sans MT" w:hAnsi="Gill Sans MT"/>
          <w:bCs/>
          <w:sz w:val="24"/>
          <w:szCs w:val="24"/>
        </w:rPr>
        <w:t>ng was completed, and the capacity of the GIS secretariat was built. A slum upgrading secretariat was established within the council, along with a steering committee comprised of the main urban stakeholders.</w:t>
      </w:r>
    </w:p>
    <w:p w14:paraId="100941AE" w14:textId="77777777" w:rsidR="00E258FD" w:rsidRDefault="001372B9">
      <w:pPr>
        <w:numPr>
          <w:ilvl w:val="0"/>
          <w:numId w:val="14"/>
        </w:numPr>
        <w:tabs>
          <w:tab w:val="clear" w:pos="432"/>
        </w:tabs>
        <w:autoSpaceDE w:val="0"/>
        <w:autoSpaceDN w:val="0"/>
        <w:adjustRightInd w:val="0"/>
        <w:spacing w:before="0" w:beforeAutospacing="0" w:after="0" w:line="360" w:lineRule="auto"/>
        <w:ind w:left="652"/>
        <w:jc w:val="both"/>
        <w:rPr>
          <w:rFonts w:ascii="Gill Sans MT" w:eastAsia="Calibri" w:hAnsi="Gill Sans MT"/>
          <w:b/>
          <w:i/>
          <w:iCs/>
          <w:sz w:val="24"/>
          <w:szCs w:val="24"/>
        </w:rPr>
      </w:pPr>
      <w:r>
        <w:rPr>
          <w:rFonts w:ascii="Gill Sans MT" w:eastAsia="Calibri" w:hAnsi="Gill Sans MT"/>
          <w:b/>
          <w:i/>
          <w:iCs/>
          <w:sz w:val="24"/>
          <w:szCs w:val="24"/>
        </w:rPr>
        <w:t>Kenya Urban Support programme</w:t>
      </w:r>
    </w:p>
    <w:p w14:paraId="4E296423" w14:textId="77777777" w:rsidR="00E258FD" w:rsidRDefault="001372B9">
      <w:pPr>
        <w:numPr>
          <w:ilvl w:val="255"/>
          <w:numId w:val="0"/>
        </w:numPr>
        <w:tabs>
          <w:tab w:val="left" w:pos="660"/>
        </w:tabs>
        <w:autoSpaceDE w:val="0"/>
        <w:autoSpaceDN w:val="0"/>
        <w:adjustRightInd w:val="0"/>
        <w:spacing w:before="0" w:beforeAutospacing="0" w:after="0" w:line="360" w:lineRule="auto"/>
        <w:ind w:left="660" w:hangingChars="274" w:hanging="660"/>
        <w:jc w:val="both"/>
        <w:rPr>
          <w:rFonts w:ascii="Gill Sans MT" w:eastAsia="Calibri" w:hAnsi="Gill Sans MT"/>
          <w:bCs/>
          <w:sz w:val="24"/>
          <w:szCs w:val="24"/>
          <w:lang w:eastAsia="zh-CN"/>
        </w:rPr>
      </w:pPr>
      <w:r>
        <w:rPr>
          <w:rFonts w:ascii="Gill Sans MT" w:eastAsia="Calibri" w:hAnsi="Gill Sans MT"/>
          <w:b/>
          <w:i/>
          <w:iCs/>
          <w:sz w:val="24"/>
          <w:szCs w:val="24"/>
          <w:lang w:eastAsia="zh-CN"/>
        </w:rPr>
        <w:tab/>
      </w:r>
      <w:r>
        <w:rPr>
          <w:rFonts w:ascii="Gill Sans MT" w:eastAsia="Calibri" w:hAnsi="Gill Sans MT"/>
          <w:bCs/>
          <w:sz w:val="24"/>
          <w:szCs w:val="24"/>
          <w:lang w:eastAsia="zh-CN"/>
        </w:rPr>
        <w:t xml:space="preserve">The World Bank’s Kenya Urban Support Programme, which funds counties for the </w:t>
      </w:r>
      <w:r>
        <w:rPr>
          <w:rFonts w:ascii="Gill Sans MT" w:eastAsia="Calibri" w:hAnsi="Gill Sans MT"/>
          <w:bCs/>
          <w:sz w:val="24"/>
          <w:szCs w:val="24"/>
          <w:lang w:eastAsia="zh-CN"/>
        </w:rPr>
        <w:tab/>
        <w:t>establishment of municipal and city boards as envisioned in the Urban Areas and Cities Act is complimented by various other programmes that are in place with support from various</w:t>
      </w:r>
      <w:r>
        <w:rPr>
          <w:rFonts w:ascii="Gill Sans MT" w:eastAsia="Calibri" w:hAnsi="Gill Sans MT"/>
          <w:bCs/>
          <w:sz w:val="24"/>
          <w:szCs w:val="24"/>
          <w:lang w:eastAsia="zh-CN"/>
        </w:rPr>
        <w:t xml:space="preserve"> bilateral donors and international development partners. The objective of the Kenya Urban Support Programme is to establish and strengthen urban institutions and </w:t>
      </w:r>
      <w:r>
        <w:rPr>
          <w:rFonts w:ascii="Gill Sans MT" w:eastAsia="Calibri" w:hAnsi="Gill Sans MT"/>
          <w:bCs/>
          <w:sz w:val="24"/>
          <w:szCs w:val="24"/>
          <w:lang w:eastAsia="zh-CN"/>
        </w:rPr>
        <w:lastRenderedPageBreak/>
        <w:t xml:space="preserve">improve accountability to deliver improved infrastructure and services in participating </w:t>
      </w:r>
      <w:r>
        <w:rPr>
          <w:rFonts w:ascii="Gill Sans MT" w:eastAsia="Calibri" w:hAnsi="Gill Sans MT"/>
          <w:bCs/>
          <w:sz w:val="24"/>
          <w:szCs w:val="24"/>
          <w:lang w:eastAsia="zh-CN"/>
        </w:rPr>
        <w:tab/>
        <w:t>coun</w:t>
      </w:r>
      <w:r>
        <w:rPr>
          <w:rFonts w:ascii="Gill Sans MT" w:eastAsia="Calibri" w:hAnsi="Gill Sans MT"/>
          <w:bCs/>
          <w:sz w:val="24"/>
          <w:szCs w:val="24"/>
          <w:lang w:eastAsia="zh-CN"/>
        </w:rPr>
        <w:t xml:space="preserve">ties in Kenya. </w:t>
      </w:r>
    </w:p>
    <w:p w14:paraId="24F367D6" w14:textId="77777777" w:rsidR="00E258FD" w:rsidRDefault="00E258FD">
      <w:pPr>
        <w:numPr>
          <w:ilvl w:val="255"/>
          <w:numId w:val="0"/>
        </w:numPr>
        <w:tabs>
          <w:tab w:val="left" w:pos="660"/>
        </w:tabs>
        <w:autoSpaceDE w:val="0"/>
        <w:autoSpaceDN w:val="0"/>
        <w:adjustRightInd w:val="0"/>
        <w:spacing w:before="0" w:beforeAutospacing="0" w:after="0" w:line="360" w:lineRule="auto"/>
        <w:ind w:left="220"/>
        <w:jc w:val="both"/>
        <w:rPr>
          <w:rFonts w:ascii="Gill Sans MT" w:eastAsia="Calibri" w:hAnsi="Gill Sans MT"/>
          <w:b/>
          <w:i/>
          <w:iCs/>
          <w:sz w:val="24"/>
          <w:szCs w:val="24"/>
        </w:rPr>
      </w:pPr>
    </w:p>
    <w:p w14:paraId="28E33D68" w14:textId="77777777" w:rsidR="00E258FD" w:rsidRDefault="001372B9">
      <w:pPr>
        <w:pStyle w:val="Heading3"/>
        <w:spacing w:before="0" w:beforeAutospacing="0" w:line="360" w:lineRule="auto"/>
        <w:rPr>
          <w:rFonts w:ascii="Gill Sans MT" w:hAnsi="Gill Sans MT"/>
          <w:i/>
          <w:color w:val="538135"/>
          <w:sz w:val="24"/>
          <w:szCs w:val="24"/>
        </w:rPr>
      </w:pPr>
      <w:bookmarkStart w:id="30" w:name="_Toc106369906"/>
      <w:r>
        <w:rPr>
          <w:rFonts w:ascii="Gill Sans MT" w:hAnsi="Gill Sans MT"/>
          <w:i/>
          <w:color w:val="538135"/>
          <w:sz w:val="24"/>
          <w:szCs w:val="24"/>
        </w:rPr>
        <w:t>2.2.6 Vision 2030 Flagship Programmes With A Bearing On Slum Upgrading</w:t>
      </w:r>
      <w:bookmarkEnd w:id="30"/>
    </w:p>
    <w:p w14:paraId="30B78F41" w14:textId="77777777" w:rsidR="00E258FD" w:rsidRDefault="001372B9">
      <w:pPr>
        <w:tabs>
          <w:tab w:val="left" w:pos="660"/>
        </w:tabs>
        <w:spacing w:before="0" w:beforeAutospacing="0" w:after="0" w:line="360" w:lineRule="auto"/>
        <w:ind w:left="660" w:hangingChars="275" w:hanging="660"/>
        <w:jc w:val="both"/>
        <w:rPr>
          <w:rFonts w:ascii="Gill Sans MT" w:eastAsia="Calibri" w:hAnsi="Gill Sans MT"/>
          <w:bCs/>
          <w:sz w:val="24"/>
          <w:szCs w:val="24"/>
          <w:lang w:eastAsia="zh-CN"/>
        </w:rPr>
      </w:pPr>
      <w:r>
        <w:rPr>
          <w:rFonts w:ascii="Gill Sans MT" w:eastAsia="Calibri" w:hAnsi="Gill Sans MT"/>
          <w:bCs/>
          <w:sz w:val="24"/>
          <w:szCs w:val="24"/>
          <w:lang w:eastAsia="zh-CN"/>
        </w:rPr>
        <w:t xml:space="preserve">Wakesho in FES 2020 notes that, “Some of the population, urbanization, and housing flagship programmes and projects to be undertaken under Vision 2030 include: </w:t>
      </w:r>
    </w:p>
    <w:p w14:paraId="0CFF8D9A"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Prepara</w:t>
      </w:r>
      <w:r>
        <w:rPr>
          <w:rFonts w:ascii="Gill Sans MT" w:eastAsia="Calibri" w:hAnsi="Gill Sans MT"/>
          <w:bCs/>
          <w:sz w:val="24"/>
          <w:szCs w:val="24"/>
          <w:lang w:eastAsia="zh-CN"/>
        </w:rPr>
        <w:t>tion and implementation of strategic development and investment plans in six metropolitan regions (Nairobi, Mombasa, Kisumu-Kakamega; Nakuru-Eldoret, Wajir-Garissa-Mandera, Kitui-Mwingi-Meru) and their respective spatial plans. Similar plans will be develo</w:t>
      </w:r>
      <w:r>
        <w:rPr>
          <w:rFonts w:ascii="Gill Sans MT" w:eastAsia="Calibri" w:hAnsi="Gill Sans MT"/>
          <w:bCs/>
          <w:sz w:val="24"/>
          <w:szCs w:val="24"/>
          <w:lang w:eastAsia="zh-CN"/>
        </w:rPr>
        <w:t xml:space="preserve">ped for special border towns and all other municipalities. </w:t>
      </w:r>
    </w:p>
    <w:p w14:paraId="42E81062"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The flagship projects will include preparation of strategic integrated physical development plans for five urban centres along the Lamu Port, South Sudan and Ethiopia Transport (LAPSSET) corridor </w:t>
      </w:r>
      <w:r>
        <w:rPr>
          <w:rFonts w:ascii="Gill Sans MT" w:eastAsia="Calibri" w:hAnsi="Gill Sans MT"/>
          <w:bCs/>
          <w:sz w:val="24"/>
          <w:szCs w:val="24"/>
          <w:lang w:eastAsia="zh-CN"/>
        </w:rPr>
        <w:t xml:space="preserve">and operationalisation of outstanding metropolitan regions of Mombasa, Kisumu-Kakamega, Kitui-Mwingi-Meru, Wajir-Garissa-Mandera and Nakuru Eldoret. </w:t>
      </w:r>
    </w:p>
    <w:p w14:paraId="5BC9455C"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Formulation and implementation of planning standards and guidelines. </w:t>
      </w:r>
    </w:p>
    <w:p w14:paraId="5376B862"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Review and formulation of a National</w:t>
      </w:r>
      <w:r>
        <w:rPr>
          <w:rFonts w:ascii="Gill Sans MT" w:eastAsia="Calibri" w:hAnsi="Gill Sans MT"/>
          <w:bCs/>
          <w:sz w:val="24"/>
          <w:szCs w:val="24"/>
          <w:lang w:eastAsia="zh-CN"/>
        </w:rPr>
        <w:t xml:space="preserve"> Urban Development policy.</w:t>
      </w:r>
    </w:p>
    <w:p w14:paraId="0C8C58E7"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Implementation of the Cities and Urban Areas Act of 2011. </w:t>
      </w:r>
    </w:p>
    <w:p w14:paraId="7F3B4C76"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Facilitation of the production of 200,000 housing units annually through various initiatives. </w:t>
      </w:r>
    </w:p>
    <w:p w14:paraId="20F15410"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Development of affordable and quality houses for lower income earning Kenya</w:t>
      </w:r>
      <w:r>
        <w:rPr>
          <w:rFonts w:ascii="Gill Sans MT" w:eastAsia="Calibri" w:hAnsi="Gill Sans MT"/>
          <w:bCs/>
          <w:sz w:val="24"/>
          <w:szCs w:val="24"/>
          <w:lang w:eastAsia="zh-CN"/>
        </w:rPr>
        <w:t>ns.</w:t>
      </w:r>
    </w:p>
    <w:p w14:paraId="6532B3C4"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Development of appropriate building materials and technologies. </w:t>
      </w:r>
    </w:p>
    <w:p w14:paraId="65274AC1"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 xml:space="preserve">Installation of physical and social infrastructure in slums and informal settlements in selected urban areas. </w:t>
      </w:r>
    </w:p>
    <w:p w14:paraId="2F6BC52D" w14:textId="77777777" w:rsidR="00E258FD" w:rsidRDefault="001372B9">
      <w:pPr>
        <w:numPr>
          <w:ilvl w:val="0"/>
          <w:numId w:val="15"/>
        </w:numPr>
        <w:tabs>
          <w:tab w:val="clear" w:pos="425"/>
        </w:tabs>
        <w:spacing w:before="0" w:beforeAutospacing="0" w:after="0" w:line="360" w:lineRule="auto"/>
        <w:ind w:left="1305" w:hanging="645"/>
        <w:jc w:val="both"/>
        <w:rPr>
          <w:rFonts w:ascii="Gill Sans MT" w:eastAsia="Calibri" w:hAnsi="Gill Sans MT"/>
          <w:bCs/>
          <w:sz w:val="24"/>
          <w:szCs w:val="24"/>
        </w:rPr>
      </w:pPr>
      <w:r>
        <w:rPr>
          <w:rFonts w:ascii="Gill Sans MT" w:eastAsia="Calibri" w:hAnsi="Gill Sans MT"/>
          <w:bCs/>
          <w:sz w:val="24"/>
          <w:szCs w:val="24"/>
          <w:lang w:eastAsia="zh-CN"/>
        </w:rPr>
        <w:t>Implementation of the Kenya Informal Settlement Improvement Programme.”</w:t>
      </w:r>
    </w:p>
    <w:p w14:paraId="54781AE0" w14:textId="77777777" w:rsidR="00E258FD" w:rsidRDefault="001372B9">
      <w:pPr>
        <w:spacing w:before="0" w:beforeAutospacing="0" w:after="0" w:line="360" w:lineRule="auto"/>
        <w:rPr>
          <w:rFonts w:ascii="Gill Sans MT" w:eastAsia="Calibri" w:hAnsi="Gill Sans MT"/>
          <w:b/>
          <w:bCs/>
          <w:sz w:val="24"/>
          <w:szCs w:val="24"/>
        </w:rPr>
      </w:pPr>
      <w:r>
        <w:rPr>
          <w:rFonts w:ascii="Gill Sans MT" w:eastAsia="Calibri" w:hAnsi="Gill Sans MT"/>
          <w:b/>
          <w:bCs/>
          <w:sz w:val="24"/>
          <w:szCs w:val="24"/>
        </w:rPr>
        <w:br w:type="page"/>
      </w:r>
    </w:p>
    <w:p w14:paraId="1EABE0D0"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31" w:name="_Toc106369907"/>
      <w:r>
        <w:rPr>
          <w:rStyle w:val="BookTitle"/>
          <w:b/>
          <w:bCs w:val="0"/>
          <w:smallCaps w:val="0"/>
          <w:color w:val="0070C0"/>
          <w:spacing w:val="0"/>
          <w:sz w:val="28"/>
        </w:rPr>
        <w:lastRenderedPageBreak/>
        <w:t>CHAPTER THREE</w:t>
      </w:r>
      <w:bookmarkEnd w:id="31"/>
    </w:p>
    <w:p w14:paraId="42DC5272"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32" w:name="_Toc106369908"/>
      <w:r>
        <w:rPr>
          <w:rStyle w:val="BookTitle"/>
          <w:b/>
          <w:bCs w:val="0"/>
          <w:smallCaps w:val="0"/>
          <w:color w:val="0070C0"/>
          <w:spacing w:val="0"/>
          <w:sz w:val="28"/>
        </w:rPr>
        <w:t>CAPACITY BUILDING: CONFRONTING PRACTICAL UPGRADING CHALLENGES, POLICY BOTTLENECKS &amp; MODELS OF DELIVERY</w:t>
      </w:r>
      <w:bookmarkEnd w:id="32"/>
    </w:p>
    <w:p w14:paraId="1953B2D0"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AFF8F68" w14:textId="77777777" w:rsidR="00E258FD" w:rsidRDefault="001372B9">
      <w:pPr>
        <w:pStyle w:val="Heading2"/>
        <w:spacing w:before="0" w:beforeAutospacing="0" w:line="360" w:lineRule="auto"/>
        <w:rPr>
          <w:rFonts w:ascii="Gill Sans MT" w:hAnsi="Gill Sans MT"/>
          <w:color w:val="0070C0"/>
        </w:rPr>
      </w:pPr>
      <w:bookmarkStart w:id="33" w:name="_Toc106369909"/>
      <w:r>
        <w:rPr>
          <w:rFonts w:ascii="Gill Sans MT" w:hAnsi="Gill Sans MT"/>
          <w:color w:val="0070C0"/>
        </w:rPr>
        <w:t>3.1 Overview of the slum upgrading scenario in Kenya</w:t>
      </w:r>
      <w:bookmarkEnd w:id="33"/>
    </w:p>
    <w:p w14:paraId="792D6B4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5E7AB06E"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There is little doubt from the analysis above that Kenya’s slums, are growing at an </w:t>
      </w:r>
      <w:r>
        <w:rPr>
          <w:rFonts w:ascii="Gill Sans MT" w:hAnsi="Gill Sans MT"/>
          <w:bCs/>
          <w:sz w:val="24"/>
          <w:szCs w:val="24"/>
        </w:rPr>
        <w:t xml:space="preserve">unprecedented rate as more and more people move to cities in search of employment and other opportunities. Areas hitherto considered as rural are also now growing into urban areas. This is loading on to the National and County Government, Cities and Urban </w:t>
      </w:r>
      <w:r>
        <w:rPr>
          <w:rFonts w:ascii="Gill Sans MT" w:hAnsi="Gill Sans MT"/>
          <w:bCs/>
          <w:sz w:val="24"/>
          <w:szCs w:val="24"/>
        </w:rPr>
        <w:t>Authorities serious challenge of guiding the physical growth of urban areas and providing adequate services for the growing urban population often through Slum Upgrading initiatives.</w:t>
      </w:r>
    </w:p>
    <w:p w14:paraId="23CF5A2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4C377F7"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two key slum upgrading initiatives namely the Kenya Slum Upgrading P</w:t>
      </w:r>
      <w:r>
        <w:rPr>
          <w:rFonts w:ascii="Gill Sans MT" w:hAnsi="Gill Sans MT"/>
          <w:bCs/>
          <w:sz w:val="24"/>
          <w:szCs w:val="24"/>
        </w:rPr>
        <w:t>rogramme (KENSUP) and the Kenya Informal Settlement Improvement Project (KISIP) both seek to improve the livelihoods of people living and working in slums and informal settlements. This the programmes wish to achieve through promoting, facilitating, and wh</w:t>
      </w:r>
      <w:r>
        <w:rPr>
          <w:rFonts w:ascii="Gill Sans MT" w:hAnsi="Gill Sans MT"/>
          <w:bCs/>
          <w:sz w:val="24"/>
          <w:szCs w:val="24"/>
        </w:rPr>
        <w:t xml:space="preserve">ere necessary, providing security of tenure, housing improvement, income generation and physical and social infrastructure. All the slum upgrading initiatives underscore the necessity to adopt a holistic and integrated, approach if they are to achieve the </w:t>
      </w:r>
      <w:r>
        <w:rPr>
          <w:rFonts w:ascii="Gill Sans MT" w:hAnsi="Gill Sans MT"/>
          <w:bCs/>
          <w:sz w:val="24"/>
          <w:szCs w:val="24"/>
        </w:rPr>
        <w:t>multiple aims of slum upgrading. The UN – HABITAT for example uses the development of an integrated infrastructure system as an entry point to slum upgrading, in order to reduce the cost of housing. This is combined with the construction or upgrading of th</w:t>
      </w:r>
      <w:r>
        <w:rPr>
          <w:rFonts w:ascii="Gill Sans MT" w:hAnsi="Gill Sans MT"/>
          <w:bCs/>
          <w:sz w:val="24"/>
          <w:szCs w:val="24"/>
        </w:rPr>
        <w:t>e existing housing stock.</w:t>
      </w:r>
    </w:p>
    <w:p w14:paraId="39DE3618"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CCDF7C2"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To improve livelihoods for the residents of the informal settlements, income generation activities are linked to these improvements. All these multiple strands require capacity building to go hand in hand with each activity. For </w:t>
      </w:r>
      <w:r>
        <w:rPr>
          <w:rFonts w:ascii="Gill Sans MT" w:hAnsi="Gill Sans MT"/>
          <w:bCs/>
          <w:sz w:val="24"/>
          <w:szCs w:val="24"/>
        </w:rPr>
        <w:t>example the clear need to improve the capacity of local authorities to plan and cater for sprawling developments in their cities goes without saying. The task of making slums better living and working environments for the urban poor, along with the insepar</w:t>
      </w:r>
      <w:r>
        <w:rPr>
          <w:rFonts w:ascii="Gill Sans MT" w:hAnsi="Gill Sans MT"/>
          <w:bCs/>
          <w:sz w:val="24"/>
          <w:szCs w:val="24"/>
        </w:rPr>
        <w:t xml:space="preserve">able task of reducing poverty, can only be achieved through a common vision, achievable </w:t>
      </w:r>
      <w:r>
        <w:rPr>
          <w:rFonts w:ascii="Gill Sans MT" w:hAnsi="Gill Sans MT"/>
          <w:bCs/>
          <w:sz w:val="24"/>
          <w:szCs w:val="24"/>
        </w:rPr>
        <w:lastRenderedPageBreak/>
        <w:t>only through participatory slum upgrading - again another area in which capacity must be built for all the stakeholders involved.</w:t>
      </w:r>
    </w:p>
    <w:p w14:paraId="24A69A6E"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67F3658"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How participation has been infused in</w:t>
      </w:r>
      <w:r>
        <w:rPr>
          <w:rFonts w:ascii="Gill Sans MT" w:hAnsi="Gill Sans MT"/>
          <w:bCs/>
          <w:sz w:val="24"/>
          <w:szCs w:val="24"/>
        </w:rPr>
        <w:t xml:space="preserve"> the delivery of KISIP and KENSUP has not been sufficiently documented, but an examination of the capacity needs associated with participatory informal settlement upgrading will be a sufficient pointer of the extent to which participation or lack of it has</w:t>
      </w:r>
      <w:r>
        <w:rPr>
          <w:rFonts w:ascii="Gill Sans MT" w:hAnsi="Gill Sans MT"/>
          <w:bCs/>
          <w:sz w:val="24"/>
          <w:szCs w:val="24"/>
        </w:rPr>
        <w:t xml:space="preserve"> informed these programs. The capacity needs may be specific to communities in each informal settlement but due to the dynamic nature of slum upgrading the capacity needs of officials and professionals who deliver these programs in a country whose public o</w:t>
      </w:r>
      <w:r>
        <w:rPr>
          <w:rFonts w:ascii="Gill Sans MT" w:hAnsi="Gill Sans MT"/>
          <w:bCs/>
          <w:sz w:val="24"/>
          <w:szCs w:val="24"/>
        </w:rPr>
        <w:t>fficers have deeply entrenched habits in delivering public services must be segregated and addressed.</w:t>
      </w:r>
    </w:p>
    <w:p w14:paraId="7954934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CA2E54F"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KENSUP identifies capacities for (a) the local communities to take control of their development; (b) the local authorities to deliver basic urban service</w:t>
      </w:r>
      <w:r>
        <w:rPr>
          <w:rFonts w:ascii="Gill Sans MT" w:hAnsi="Gill Sans MT"/>
          <w:bCs/>
          <w:sz w:val="24"/>
          <w:szCs w:val="24"/>
        </w:rPr>
        <w:t>s and in general respond to the needs of their constituents in a participatory manner; and (c) the central government to coordinate slum upgrading processes.</w:t>
      </w:r>
      <w:r>
        <w:rPr>
          <w:rStyle w:val="FootnoteReference"/>
          <w:rFonts w:ascii="Gill Sans MT" w:hAnsi="Gill Sans MT"/>
          <w:bCs/>
          <w:sz w:val="24"/>
          <w:szCs w:val="24"/>
        </w:rPr>
        <w:footnoteReference w:id="30"/>
      </w:r>
      <w:r>
        <w:rPr>
          <w:rFonts w:ascii="Gill Sans MT" w:hAnsi="Gill Sans MT"/>
          <w:bCs/>
          <w:sz w:val="24"/>
          <w:szCs w:val="24"/>
        </w:rPr>
        <w:t xml:space="preserve"> Upgrading interventions face many challenges that hinder their effective implementation. These ca</w:t>
      </w:r>
      <w:r>
        <w:rPr>
          <w:rFonts w:ascii="Gill Sans MT" w:hAnsi="Gill Sans MT"/>
          <w:bCs/>
          <w:sz w:val="24"/>
          <w:szCs w:val="24"/>
        </w:rPr>
        <w:t xml:space="preserve">ll for not only clear policy, but also political will to go beyond the mere provision of a ‘decent house’ to empowering the urban poor to realize the right to housing through a community-led process. </w:t>
      </w:r>
    </w:p>
    <w:p w14:paraId="5043CB5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53DD6316"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Building capacity to ensure social cohesion and collec</w:t>
      </w:r>
      <w:r>
        <w:rPr>
          <w:rFonts w:ascii="Gill Sans MT" w:hAnsi="Gill Sans MT"/>
          <w:bCs/>
          <w:sz w:val="24"/>
          <w:szCs w:val="24"/>
        </w:rPr>
        <w:t>tive responsibility presents the real opportunity for integrating informal settlement communities in urban development. Seeing adequate housing as inclusive of reasonable standards of sanitation and appreciating that a house is much more than a space and d</w:t>
      </w:r>
      <w:r>
        <w:rPr>
          <w:rFonts w:ascii="Gill Sans MT" w:hAnsi="Gill Sans MT"/>
          <w:bCs/>
          <w:sz w:val="24"/>
          <w:szCs w:val="24"/>
        </w:rPr>
        <w:t>welling unit with utility for commerce and survival justifies the need for capacity building. On the policy front capacity building should support a management framework that looks at the housing component as empty without consideration of land, infrastruc</w:t>
      </w:r>
      <w:r>
        <w:rPr>
          <w:rFonts w:ascii="Gill Sans MT" w:hAnsi="Gill Sans MT"/>
          <w:bCs/>
          <w:sz w:val="24"/>
          <w:szCs w:val="24"/>
        </w:rPr>
        <w:t>ture, building materials, building technology and financing that completes the equation.</w:t>
      </w:r>
    </w:p>
    <w:p w14:paraId="6F2F149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C35B746"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lang w:eastAsia="zh-CN"/>
        </w:rPr>
      </w:pPr>
      <w:r>
        <w:rPr>
          <w:rFonts w:ascii="Gill Sans MT" w:hAnsi="Gill Sans MT"/>
          <w:bCs/>
          <w:sz w:val="24"/>
          <w:szCs w:val="24"/>
          <w:lang w:eastAsia="zh-CN"/>
        </w:rPr>
        <w:t>Capacity building has the impact of making slum upgrading processes to be community-led. This in turn will ensure the nagging issues of community ownership and involv</w:t>
      </w:r>
      <w:r>
        <w:rPr>
          <w:rFonts w:ascii="Gill Sans MT" w:hAnsi="Gill Sans MT"/>
          <w:bCs/>
          <w:sz w:val="24"/>
          <w:szCs w:val="24"/>
          <w:lang w:eastAsia="zh-CN"/>
        </w:rPr>
        <w:t xml:space="preserve">ement are sorted, to </w:t>
      </w:r>
      <w:r>
        <w:rPr>
          <w:rFonts w:ascii="Gill Sans MT" w:hAnsi="Gill Sans MT"/>
          <w:bCs/>
          <w:sz w:val="24"/>
          <w:szCs w:val="24"/>
          <w:lang w:eastAsia="zh-CN"/>
        </w:rPr>
        <w:lastRenderedPageBreak/>
        <w:t>ultimately address, the never-ending cycle of proliferation of slums whose effect makes slum upgrading similarly a never-ending process.</w:t>
      </w:r>
    </w:p>
    <w:p w14:paraId="33C4F12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lang w:eastAsia="zh-CN"/>
        </w:rPr>
      </w:pPr>
    </w:p>
    <w:p w14:paraId="2563BD88" w14:textId="77777777" w:rsidR="00E258FD" w:rsidRDefault="001372B9">
      <w:pPr>
        <w:pStyle w:val="Heading2"/>
        <w:spacing w:before="0" w:beforeAutospacing="0" w:line="360" w:lineRule="auto"/>
        <w:rPr>
          <w:rFonts w:ascii="Gill Sans MT" w:hAnsi="Gill Sans MT"/>
          <w:color w:val="0070C0"/>
        </w:rPr>
      </w:pPr>
      <w:bookmarkStart w:id="34" w:name="_Toc106369910"/>
      <w:r>
        <w:rPr>
          <w:rFonts w:ascii="Gill Sans MT" w:hAnsi="Gill Sans MT"/>
          <w:color w:val="0070C0"/>
        </w:rPr>
        <w:t>3.2 Understanding the Challenges of Upgrading</w:t>
      </w:r>
      <w:bookmarkEnd w:id="34"/>
    </w:p>
    <w:p w14:paraId="7E6AE0D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541BC60"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Effective implementation of slum </w:t>
      </w:r>
      <w:r>
        <w:rPr>
          <w:rFonts w:ascii="Gill Sans MT" w:hAnsi="Gill Sans MT"/>
          <w:bCs/>
          <w:sz w:val="24"/>
          <w:szCs w:val="24"/>
        </w:rPr>
        <w:t>upgrading faces a number of challenges some of which are described below:</w:t>
      </w:r>
    </w:p>
    <w:p w14:paraId="25E4A856" w14:textId="77777777" w:rsidR="00E258FD" w:rsidRDefault="001372B9">
      <w:pPr>
        <w:pStyle w:val="ListParagraph"/>
        <w:numPr>
          <w:ilvl w:val="0"/>
          <w:numId w:val="17"/>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Social segregation</w:t>
      </w:r>
      <w:r>
        <w:rPr>
          <w:rFonts w:ascii="Gill Sans MT" w:hAnsi="Gill Sans MT"/>
          <w:bCs/>
          <w:sz w:val="24"/>
          <w:szCs w:val="24"/>
        </w:rPr>
        <w:t xml:space="preserve"> – according to </w:t>
      </w:r>
      <w:r>
        <w:rPr>
          <w:rFonts w:ascii="Gill Sans MT" w:hAnsi="Gill Sans MT"/>
          <w:sz w:val="24"/>
          <w:szCs w:val="24"/>
        </w:rPr>
        <w:t>Muraguri (2017)</w:t>
      </w:r>
      <w:r>
        <w:rPr>
          <w:rFonts w:ascii="Gill Sans MT" w:hAnsi="Gill Sans MT"/>
          <w:bCs/>
          <w:sz w:val="24"/>
          <w:szCs w:val="24"/>
        </w:rPr>
        <w:t xml:space="preserve">, marginalization of slum dwellers in governance circles worsens their leverage which requires social inclusion to promote their </w:t>
      </w:r>
      <w:r>
        <w:rPr>
          <w:rFonts w:ascii="Gill Sans MT" w:hAnsi="Gill Sans MT"/>
          <w:bCs/>
          <w:sz w:val="24"/>
          <w:szCs w:val="24"/>
        </w:rPr>
        <w:t>bargaining power. Further, studies show</w:t>
      </w:r>
      <w:r>
        <w:rPr>
          <w:rStyle w:val="FootnoteReference"/>
          <w:rFonts w:ascii="Gill Sans MT" w:hAnsi="Gill Sans MT"/>
          <w:bCs/>
          <w:sz w:val="24"/>
          <w:szCs w:val="24"/>
        </w:rPr>
        <w:footnoteReference w:id="31"/>
      </w:r>
      <w:r>
        <w:rPr>
          <w:rFonts w:ascii="Gill Sans MT" w:hAnsi="Gill Sans MT"/>
          <w:bCs/>
          <w:sz w:val="24"/>
          <w:szCs w:val="24"/>
        </w:rPr>
        <w:t xml:space="preserve"> that crime can be a function of social-economic marginalization which then explains the trends that see high crime rates among informal settlements. These attributes cumulatively point to the fact that social segreg</w:t>
      </w:r>
      <w:r>
        <w:rPr>
          <w:rFonts w:ascii="Gill Sans MT" w:hAnsi="Gill Sans MT"/>
          <w:bCs/>
          <w:sz w:val="24"/>
          <w:szCs w:val="24"/>
        </w:rPr>
        <w:t>ation remains a considerable challenge for slum upgrading activities through participatory processes</w:t>
      </w:r>
      <w:r>
        <w:rPr>
          <w:rStyle w:val="FootnoteReference"/>
          <w:rFonts w:ascii="Gill Sans MT" w:hAnsi="Gill Sans MT"/>
          <w:bCs/>
          <w:sz w:val="24"/>
          <w:szCs w:val="24"/>
        </w:rPr>
        <w:footnoteReference w:id="32"/>
      </w:r>
      <w:r>
        <w:rPr>
          <w:rFonts w:ascii="Gill Sans MT" w:hAnsi="Gill Sans MT"/>
          <w:bCs/>
          <w:sz w:val="24"/>
          <w:szCs w:val="24"/>
        </w:rPr>
        <w:t xml:space="preserve">. </w:t>
      </w:r>
    </w:p>
    <w:p w14:paraId="501AAF93" w14:textId="77777777" w:rsidR="00E258FD" w:rsidRDefault="001372B9">
      <w:pPr>
        <w:pStyle w:val="ListParagraph"/>
        <w:numPr>
          <w:ilvl w:val="0"/>
          <w:numId w:val="17"/>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Security of tenure</w:t>
      </w:r>
      <w:r>
        <w:rPr>
          <w:rFonts w:ascii="Gill Sans MT" w:hAnsi="Gill Sans MT"/>
          <w:bCs/>
          <w:sz w:val="24"/>
          <w:szCs w:val="24"/>
        </w:rPr>
        <w:t xml:space="preserve"> – many slum upgrading programmes mainly focus on housing improvements at the expense of other slum livelihoods. This is a challenge t</w:t>
      </w:r>
      <w:r>
        <w:rPr>
          <w:rFonts w:ascii="Gill Sans MT" w:hAnsi="Gill Sans MT"/>
          <w:bCs/>
          <w:sz w:val="24"/>
          <w:szCs w:val="24"/>
        </w:rPr>
        <w:t>hat requires urgent redress to institute comprehensive slum upgrading interventions. Further, apart from house improvement, slum upgrading should also prioritize the socio-economic improvement of the poor. This then calls for slum upgrading to integrate be</w:t>
      </w:r>
      <w:r>
        <w:rPr>
          <w:rFonts w:ascii="Gill Sans MT" w:hAnsi="Gill Sans MT"/>
          <w:bCs/>
          <w:sz w:val="24"/>
          <w:szCs w:val="24"/>
        </w:rPr>
        <w:t>havioral aspects of slum dwellers to enhance sustainability.</w:t>
      </w:r>
    </w:p>
    <w:p w14:paraId="2ACE8D6B" w14:textId="77777777" w:rsidR="00E258FD" w:rsidRDefault="001372B9">
      <w:pPr>
        <w:pStyle w:val="ListParagraph"/>
        <w:numPr>
          <w:ilvl w:val="0"/>
          <w:numId w:val="17"/>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Lack of political goodwill</w:t>
      </w:r>
      <w:r>
        <w:rPr>
          <w:rFonts w:ascii="Gill Sans MT" w:hAnsi="Gill Sans MT"/>
          <w:bCs/>
          <w:sz w:val="24"/>
          <w:szCs w:val="24"/>
        </w:rPr>
        <w:t xml:space="preserve"> – this is another challenge that slum upgrading faces as some of the slum improvement programs are at times pegged on political survival strategies meant to manipulate </w:t>
      </w:r>
      <w:r>
        <w:rPr>
          <w:rFonts w:ascii="Gill Sans MT" w:hAnsi="Gill Sans MT"/>
          <w:bCs/>
          <w:sz w:val="24"/>
          <w:szCs w:val="24"/>
        </w:rPr>
        <w:t>the slum poor for selfish ends. Other challenges associated with lack of political good will include challenges of flooding in slums which is a function of resources and slum fires which are at times started to evict slum dwellers for political reasons (</w:t>
      </w:r>
      <w:r>
        <w:rPr>
          <w:rFonts w:ascii="Gill Sans MT" w:hAnsi="Gill Sans MT"/>
          <w:sz w:val="24"/>
          <w:szCs w:val="24"/>
        </w:rPr>
        <w:t>Ke</w:t>
      </w:r>
      <w:r>
        <w:rPr>
          <w:rFonts w:ascii="Gill Sans MT" w:hAnsi="Gill Sans MT"/>
          <w:sz w:val="24"/>
          <w:szCs w:val="24"/>
        </w:rPr>
        <w:t>mpe, 2019</w:t>
      </w:r>
      <w:r>
        <w:rPr>
          <w:rFonts w:ascii="Gill Sans MT" w:hAnsi="Gill Sans MT"/>
          <w:bCs/>
          <w:sz w:val="24"/>
          <w:szCs w:val="24"/>
        </w:rPr>
        <w:t>).</w:t>
      </w:r>
    </w:p>
    <w:p w14:paraId="511414BE" w14:textId="77777777" w:rsidR="00E258FD" w:rsidRDefault="00E258FD">
      <w:pPr>
        <w:pStyle w:val="ListParagraph"/>
        <w:autoSpaceDE w:val="0"/>
        <w:autoSpaceDN w:val="0"/>
        <w:adjustRightInd w:val="0"/>
        <w:spacing w:before="0" w:beforeAutospacing="0" w:after="0" w:line="360" w:lineRule="auto"/>
        <w:ind w:left="360"/>
        <w:jc w:val="both"/>
        <w:rPr>
          <w:rFonts w:ascii="Gill Sans MT" w:hAnsi="Gill Sans MT"/>
          <w:bCs/>
          <w:sz w:val="24"/>
          <w:szCs w:val="24"/>
        </w:rPr>
      </w:pPr>
    </w:p>
    <w:p w14:paraId="0A6C92D2" w14:textId="77777777" w:rsidR="00E258FD" w:rsidRDefault="001372B9">
      <w:pPr>
        <w:pStyle w:val="ListParagraph"/>
        <w:numPr>
          <w:ilvl w:val="0"/>
          <w:numId w:val="17"/>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lastRenderedPageBreak/>
        <w:t>Environmental factors</w:t>
      </w:r>
      <w:r>
        <w:rPr>
          <w:rFonts w:ascii="Gill Sans MT" w:hAnsi="Gill Sans MT"/>
          <w:bCs/>
          <w:sz w:val="24"/>
          <w:szCs w:val="24"/>
        </w:rPr>
        <w:t xml:space="preserve"> – these form part of one of the most difficult challenges to address for slum upgrading with increasing dumping of waste in slum areas creating an immense risk for slum dwellers. Further, slums are also endangered due to </w:t>
      </w:r>
      <w:r>
        <w:rPr>
          <w:rFonts w:ascii="Gill Sans MT" w:hAnsi="Gill Sans MT"/>
          <w:bCs/>
          <w:sz w:val="24"/>
          <w:szCs w:val="24"/>
        </w:rPr>
        <w:t>the flammable building materials, illegal electricity connections and use of paraffin and charcoal for cooking in overcrowded houses</w:t>
      </w:r>
      <w:r>
        <w:rPr>
          <w:rStyle w:val="FootnoteReference"/>
          <w:rFonts w:ascii="Gill Sans MT" w:hAnsi="Gill Sans MT"/>
          <w:bCs/>
          <w:sz w:val="24"/>
          <w:szCs w:val="24"/>
        </w:rPr>
        <w:footnoteReference w:id="33"/>
      </w:r>
      <w:r>
        <w:rPr>
          <w:rFonts w:ascii="Gill Sans MT" w:hAnsi="Gill Sans MT"/>
          <w:bCs/>
          <w:sz w:val="24"/>
          <w:szCs w:val="24"/>
        </w:rPr>
        <w:t>. Further, Amnesty International in their report</w:t>
      </w:r>
      <w:r>
        <w:rPr>
          <w:rStyle w:val="FootnoteReference"/>
          <w:rFonts w:ascii="Gill Sans MT" w:hAnsi="Gill Sans MT"/>
          <w:bCs/>
          <w:sz w:val="24"/>
          <w:szCs w:val="24"/>
        </w:rPr>
        <w:footnoteReference w:id="34"/>
      </w:r>
      <w:r>
        <w:rPr>
          <w:rFonts w:ascii="Gill Sans MT" w:hAnsi="Gill Sans MT"/>
          <w:bCs/>
          <w:sz w:val="24"/>
          <w:szCs w:val="24"/>
        </w:rPr>
        <w:t xml:space="preserve"> on Nairobi slum-dwellers, indicates that there exists some of the informa</w:t>
      </w:r>
      <w:r>
        <w:rPr>
          <w:rFonts w:ascii="Gill Sans MT" w:hAnsi="Gill Sans MT"/>
          <w:bCs/>
          <w:sz w:val="24"/>
          <w:szCs w:val="24"/>
        </w:rPr>
        <w:t>l settlements in environmental sensitive areas which is an inhibiting factor for their upgrading.</w:t>
      </w:r>
    </w:p>
    <w:p w14:paraId="024934F2" w14:textId="77777777" w:rsidR="00E258FD" w:rsidRDefault="001372B9">
      <w:pPr>
        <w:pStyle w:val="ListParagraph"/>
        <w:numPr>
          <w:ilvl w:val="0"/>
          <w:numId w:val="17"/>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Community participation</w:t>
      </w:r>
      <w:r>
        <w:rPr>
          <w:rFonts w:ascii="Gill Sans MT" w:hAnsi="Gill Sans MT"/>
          <w:bCs/>
          <w:sz w:val="24"/>
          <w:szCs w:val="24"/>
        </w:rPr>
        <w:t xml:space="preserve"> – despite the provision in law for public participation in any development engagement by government, studies show that there is a low </w:t>
      </w:r>
      <w:r>
        <w:rPr>
          <w:rFonts w:ascii="Gill Sans MT" w:hAnsi="Gill Sans MT"/>
          <w:bCs/>
          <w:sz w:val="24"/>
          <w:szCs w:val="24"/>
        </w:rPr>
        <w:t xml:space="preserve">level of involvement and participation among slum dwellers in upgrading initiatives. There are repeated efforts to try and ensure greater involvement of local communities in slum upgrading initiatives through such interventions as KENSUP but there remains </w:t>
      </w:r>
      <w:r>
        <w:rPr>
          <w:rFonts w:ascii="Gill Sans MT" w:hAnsi="Gill Sans MT"/>
          <w:bCs/>
          <w:sz w:val="24"/>
          <w:szCs w:val="24"/>
        </w:rPr>
        <w:t xml:space="preserve">a considerable gap in full realization of complete public participation in slum upgrading initiatives. According to </w:t>
      </w:r>
      <w:r>
        <w:rPr>
          <w:rFonts w:ascii="Gill Sans MT" w:hAnsi="Gill Sans MT"/>
          <w:sz w:val="24"/>
          <w:szCs w:val="24"/>
        </w:rPr>
        <w:t>Dierkx (2019)</w:t>
      </w:r>
      <w:r>
        <w:rPr>
          <w:rFonts w:ascii="Gill Sans MT" w:hAnsi="Gill Sans MT"/>
          <w:bCs/>
          <w:sz w:val="24"/>
          <w:szCs w:val="24"/>
        </w:rPr>
        <w:t>, the ultimate aim of participation is empowerment, capacity building and sustainability and therefore capacity building should</w:t>
      </w:r>
      <w:r>
        <w:rPr>
          <w:rFonts w:ascii="Gill Sans MT" w:hAnsi="Gill Sans MT"/>
          <w:bCs/>
          <w:sz w:val="24"/>
          <w:szCs w:val="24"/>
        </w:rPr>
        <w:t xml:space="preserve"> prioritize women who form the bulk of the informal economy. </w:t>
      </w:r>
    </w:p>
    <w:p w14:paraId="4D80D34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236EAF8" w14:textId="77777777" w:rsidR="00E258FD" w:rsidRDefault="001372B9">
      <w:pPr>
        <w:pStyle w:val="Heading2"/>
        <w:spacing w:before="0" w:beforeAutospacing="0" w:line="360" w:lineRule="auto"/>
        <w:rPr>
          <w:rFonts w:ascii="Gill Sans MT" w:hAnsi="Gill Sans MT"/>
          <w:color w:val="0070C0"/>
        </w:rPr>
      </w:pPr>
      <w:bookmarkStart w:id="35" w:name="_Toc106369911"/>
      <w:r>
        <w:rPr>
          <w:rFonts w:ascii="Gill Sans MT" w:hAnsi="Gill Sans MT"/>
          <w:color w:val="0070C0"/>
        </w:rPr>
        <w:t>3.3 Lack of appropriately implemented Policy and Institutional frameworks (National/County; MTEF and Budget)</w:t>
      </w:r>
      <w:bookmarkEnd w:id="35"/>
    </w:p>
    <w:p w14:paraId="6FE10D33"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7C446F4"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According to various experts charged with the upgrading of the conditions in slums </w:t>
      </w:r>
      <w:r>
        <w:rPr>
          <w:rFonts w:ascii="Gill Sans MT" w:hAnsi="Gill Sans MT"/>
          <w:bCs/>
          <w:sz w:val="24"/>
          <w:szCs w:val="24"/>
        </w:rPr>
        <w:t>and informal settlements, much has not been achieved due to existence of gaps and weaknesses that exist within the legal framework. KENSUP implementation strategy Volume II, notes that slum and informal settlements operate outside the legal and policy fram</w:t>
      </w:r>
      <w:r>
        <w:rPr>
          <w:rFonts w:ascii="Gill Sans MT" w:hAnsi="Gill Sans MT"/>
          <w:bCs/>
          <w:sz w:val="24"/>
          <w:szCs w:val="24"/>
        </w:rPr>
        <w:t>ework (</w:t>
      </w:r>
      <w:r>
        <w:rPr>
          <w:rFonts w:ascii="Gill Sans MT" w:hAnsi="Gill Sans MT"/>
          <w:sz w:val="24"/>
          <w:szCs w:val="24"/>
        </w:rPr>
        <w:t>Candiracci &amp; Syrjanen, 2007</w:t>
      </w:r>
      <w:r>
        <w:rPr>
          <w:rFonts w:ascii="Gill Sans MT" w:hAnsi="Gill Sans MT"/>
          <w:bCs/>
          <w:sz w:val="24"/>
          <w:szCs w:val="24"/>
        </w:rPr>
        <w:t>). Therefore, there is need for recognition of KENSUP activities as well as mainstreaming the proposed activities within the Government of Kenya and local authorities and prioritization of activities. Generally, the countr</w:t>
      </w:r>
      <w:r>
        <w:rPr>
          <w:rFonts w:ascii="Gill Sans MT" w:hAnsi="Gill Sans MT"/>
          <w:bCs/>
          <w:sz w:val="24"/>
          <w:szCs w:val="24"/>
        </w:rPr>
        <w:t xml:space="preserve">y has been lacking a comprehensive and appropriate legal </w:t>
      </w:r>
      <w:r>
        <w:rPr>
          <w:rFonts w:ascii="Gill Sans MT" w:hAnsi="Gill Sans MT"/>
          <w:bCs/>
          <w:sz w:val="24"/>
          <w:szCs w:val="24"/>
        </w:rPr>
        <w:lastRenderedPageBreak/>
        <w:t>framework and guideline for informal settlements activities and slum upgrading. This is according to reports from the Department of Slum Upgrading. The long bureaucratic processes in the National Ass</w:t>
      </w:r>
      <w:r>
        <w:rPr>
          <w:rFonts w:ascii="Gill Sans MT" w:hAnsi="Gill Sans MT"/>
          <w:bCs/>
          <w:sz w:val="24"/>
          <w:szCs w:val="24"/>
        </w:rPr>
        <w:t>embly followed for the bill to become a law has also contributed despite the urgency to address the slum pandemic requires. Harmonization of programmes and activities of various stakeholders have been difficult especially coordination (</w:t>
      </w:r>
      <w:r>
        <w:rPr>
          <w:rFonts w:ascii="Gill Sans MT" w:hAnsi="Gill Sans MT"/>
          <w:sz w:val="24"/>
          <w:szCs w:val="24"/>
        </w:rPr>
        <w:t>Candiracci &amp; Syrjane</w:t>
      </w:r>
      <w:r>
        <w:rPr>
          <w:rFonts w:ascii="Gill Sans MT" w:hAnsi="Gill Sans MT"/>
          <w:sz w:val="24"/>
          <w:szCs w:val="24"/>
        </w:rPr>
        <w:t>n, 2007</w:t>
      </w:r>
      <w:r>
        <w:rPr>
          <w:rFonts w:ascii="Gill Sans MT" w:hAnsi="Gill Sans MT"/>
          <w:bCs/>
          <w:sz w:val="24"/>
          <w:szCs w:val="24"/>
        </w:rPr>
        <w:t xml:space="preserve">). </w:t>
      </w:r>
    </w:p>
    <w:p w14:paraId="2FE2C7F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A1F54CF"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Most upgrading initiatives have been operating through the guidance of various disjointed policies and laws on wide-ranging issues affecting slums such land, health, housing, security, water, among others which include:</w:t>
      </w:r>
    </w:p>
    <w:p w14:paraId="0F055481" w14:textId="77777777" w:rsidR="00E258FD" w:rsidRDefault="001372B9">
      <w:pPr>
        <w:pStyle w:val="ListParagraph"/>
        <w:numPr>
          <w:ilvl w:val="0"/>
          <w:numId w:val="18"/>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The Constitution of Keny</w:t>
      </w:r>
      <w:r>
        <w:rPr>
          <w:rFonts w:ascii="Gill Sans MT" w:hAnsi="Gill Sans MT"/>
          <w:b/>
          <w:bCs/>
          <w:i/>
          <w:sz w:val="24"/>
          <w:szCs w:val="24"/>
        </w:rPr>
        <w:t>a</w:t>
      </w:r>
      <w:r>
        <w:rPr>
          <w:rFonts w:ascii="Gill Sans MT" w:hAnsi="Gill Sans MT"/>
          <w:bCs/>
          <w:sz w:val="24"/>
          <w:szCs w:val="24"/>
        </w:rPr>
        <w:t xml:space="preserve"> – Article 21 states that; </w:t>
      </w:r>
      <w:r>
        <w:rPr>
          <w:rFonts w:ascii="Gill Sans MT" w:hAnsi="Gill Sans MT"/>
          <w:bCs/>
          <w:i/>
          <w:sz w:val="24"/>
          <w:szCs w:val="24"/>
        </w:rPr>
        <w:t>The Government or State has fundamental duty to observe, respect, protect, promote, and fulfill the fundamental rights and freedom of the citizen by taking appropriate legal action</w:t>
      </w:r>
      <w:r>
        <w:rPr>
          <w:rFonts w:ascii="Gill Sans MT" w:hAnsi="Gill Sans MT"/>
          <w:bCs/>
          <w:sz w:val="24"/>
          <w:szCs w:val="24"/>
        </w:rPr>
        <w:t>. This aims at protecting individuals regardless</w:t>
      </w:r>
      <w:r>
        <w:rPr>
          <w:rFonts w:ascii="Gill Sans MT" w:hAnsi="Gill Sans MT"/>
          <w:bCs/>
          <w:sz w:val="24"/>
          <w:szCs w:val="24"/>
        </w:rPr>
        <w:t xml:space="preserve"> of the social and economic status in the society. This is actually what affects slum residents since they suffer deprivation and marginalization. Further, article 43 calls for attainable standards in healthcare services, accessible and adequate housing, a</w:t>
      </w:r>
      <w:r>
        <w:rPr>
          <w:rFonts w:ascii="Gill Sans MT" w:hAnsi="Gill Sans MT"/>
          <w:bCs/>
          <w:sz w:val="24"/>
          <w:szCs w:val="24"/>
        </w:rPr>
        <w:t>nd reasonable standard of sanitation, clean and safe water in adequate quantities, social security, and education. All these are in insufficient in slum hence calls for slum upgrading.</w:t>
      </w:r>
    </w:p>
    <w:p w14:paraId="5A87A164" w14:textId="77777777" w:rsidR="00E258FD" w:rsidRDefault="001372B9">
      <w:pPr>
        <w:pStyle w:val="ListParagraph"/>
        <w:numPr>
          <w:ilvl w:val="0"/>
          <w:numId w:val="18"/>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Urban Areas and Cities Act, 2011</w:t>
      </w:r>
      <w:r>
        <w:rPr>
          <w:rFonts w:ascii="Gill Sans MT" w:hAnsi="Gill Sans MT"/>
          <w:bCs/>
          <w:sz w:val="24"/>
          <w:szCs w:val="24"/>
        </w:rPr>
        <w:t xml:space="preserve"> – The Third schedule of this Act provi</w:t>
      </w:r>
      <w:r>
        <w:rPr>
          <w:rFonts w:ascii="Gill Sans MT" w:hAnsi="Gill Sans MT"/>
          <w:bCs/>
          <w:sz w:val="24"/>
          <w:szCs w:val="24"/>
        </w:rPr>
        <w:t>des for factors to be considered in the preparation of County Integrated Development Plans while Part V, article 36, provides the frameworks within which the integrated plan shall consider matters that include: protection and enhancement of human rights es</w:t>
      </w:r>
      <w:r>
        <w:rPr>
          <w:rFonts w:ascii="Gill Sans MT" w:hAnsi="Gill Sans MT"/>
          <w:bCs/>
          <w:sz w:val="24"/>
          <w:szCs w:val="24"/>
        </w:rPr>
        <w:t xml:space="preserve">pecially right to housing and other basic services, provision of infrastructure, preparation of environmental plans and other strategic plans and evaluation of the socio-economic status of the residents. Kibera being in Nairobi is being upgraded under the </w:t>
      </w:r>
      <w:r>
        <w:rPr>
          <w:rFonts w:ascii="Gill Sans MT" w:hAnsi="Gill Sans MT"/>
          <w:bCs/>
          <w:sz w:val="24"/>
          <w:szCs w:val="24"/>
        </w:rPr>
        <w:t>guidance of the Nairobi County Integrated Development Plan (NCIDP). It is worth noting that this Act has considered numerous issues affecting the city, majorly the increased number of informal settlements/slums hence developing proper interventions. This a</w:t>
      </w:r>
      <w:r>
        <w:rPr>
          <w:rFonts w:ascii="Gill Sans MT" w:hAnsi="Gill Sans MT"/>
          <w:bCs/>
          <w:sz w:val="24"/>
          <w:szCs w:val="24"/>
        </w:rPr>
        <w:t>ct also requires that the county integrated plan to be made available to the members of the public at given points</w:t>
      </w:r>
      <w:r>
        <w:rPr>
          <w:rStyle w:val="FootnoteReference"/>
          <w:rFonts w:ascii="Gill Sans MT" w:hAnsi="Gill Sans MT"/>
          <w:bCs/>
          <w:sz w:val="24"/>
          <w:szCs w:val="24"/>
        </w:rPr>
        <w:footnoteReference w:id="35"/>
      </w:r>
      <w:r>
        <w:rPr>
          <w:rFonts w:ascii="Gill Sans MT" w:hAnsi="Gill Sans MT"/>
          <w:bCs/>
          <w:sz w:val="24"/>
          <w:szCs w:val="24"/>
        </w:rPr>
        <w:t xml:space="preserve">. </w:t>
      </w:r>
      <w:r>
        <w:rPr>
          <w:rFonts w:ascii="Gill Sans MT" w:hAnsi="Gill Sans MT"/>
          <w:bCs/>
          <w:sz w:val="24"/>
          <w:szCs w:val="24"/>
        </w:rPr>
        <w:lastRenderedPageBreak/>
        <w:t>This is what Nairobi County Government has not implemented hence most residents from various informal settlements are aware of or hear of i</w:t>
      </w:r>
      <w:r>
        <w:rPr>
          <w:rFonts w:ascii="Gill Sans MT" w:hAnsi="Gill Sans MT"/>
          <w:bCs/>
          <w:sz w:val="24"/>
          <w:szCs w:val="24"/>
        </w:rPr>
        <w:t>t but do not understand what it contains.</w:t>
      </w:r>
    </w:p>
    <w:p w14:paraId="204772F0" w14:textId="77777777" w:rsidR="00E258FD" w:rsidRDefault="001372B9">
      <w:pPr>
        <w:pStyle w:val="ListParagraph"/>
        <w:numPr>
          <w:ilvl w:val="0"/>
          <w:numId w:val="18"/>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County Government Act, 2012</w:t>
      </w:r>
      <w:r>
        <w:rPr>
          <w:rFonts w:ascii="Gill Sans MT" w:hAnsi="Gill Sans MT"/>
          <w:bCs/>
          <w:sz w:val="24"/>
          <w:szCs w:val="24"/>
        </w:rPr>
        <w:t xml:space="preserve"> - this Act provides that each County shall prepare a County Integrated Development Plan, which shall be a basis for all budgeting and spending of public funds. The integrated plan shall </w:t>
      </w:r>
      <w:r>
        <w:rPr>
          <w:rFonts w:ascii="Gill Sans MT" w:hAnsi="Gill Sans MT"/>
          <w:bCs/>
          <w:sz w:val="24"/>
          <w:szCs w:val="24"/>
        </w:rPr>
        <w:t>address matters related to physical, economic, social, environmental, and spatial planning. The Nairobi CIDP (2014) classifies Nairobi urban areas as unplanned, driven by the rapid population growth and poverty. The sprawling informal settlements hamper th</w:t>
      </w:r>
      <w:r>
        <w:rPr>
          <w:rFonts w:ascii="Gill Sans MT" w:hAnsi="Gill Sans MT"/>
          <w:bCs/>
          <w:sz w:val="24"/>
          <w:szCs w:val="24"/>
        </w:rPr>
        <w:t>e spreading of the City’s baseline for social services hence the deteriorating quality of life. Informal settlements are categorized as an environmental issue accelerated by the rapid growth of population, increased demand for land and inappropriate land a</w:t>
      </w:r>
      <w:r>
        <w:rPr>
          <w:rFonts w:ascii="Gill Sans MT" w:hAnsi="Gill Sans MT"/>
          <w:bCs/>
          <w:sz w:val="24"/>
          <w:szCs w:val="24"/>
        </w:rPr>
        <w:t>llocation hence pushing the poor to fragile areas where they face various challenges such as inadequate housing and public services hence not vulnerable to environmental changes.</w:t>
      </w:r>
    </w:p>
    <w:p w14:paraId="70113375" w14:textId="77777777" w:rsidR="00E258FD" w:rsidRDefault="001372B9">
      <w:pPr>
        <w:pStyle w:val="ListParagraph"/>
        <w:numPr>
          <w:ilvl w:val="0"/>
          <w:numId w:val="18"/>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
          <w:bCs/>
          <w:i/>
          <w:sz w:val="24"/>
          <w:szCs w:val="24"/>
        </w:rPr>
        <w:t>The Public Finance Act of 2012</w:t>
      </w:r>
      <w:r>
        <w:rPr>
          <w:rFonts w:ascii="Gill Sans MT" w:hAnsi="Gill Sans MT"/>
          <w:bCs/>
          <w:sz w:val="24"/>
          <w:szCs w:val="24"/>
        </w:rPr>
        <w:t xml:space="preserve"> – this Act provides that the budgetary process</w:t>
      </w:r>
      <w:r>
        <w:rPr>
          <w:rFonts w:ascii="Gill Sans MT" w:hAnsi="Gill Sans MT"/>
          <w:bCs/>
          <w:sz w:val="24"/>
          <w:szCs w:val="24"/>
        </w:rPr>
        <w:t xml:space="preserve"> for the County Governments for every financial year must begin with an integrated development planning process. This consists of both medium and long term plan which will in turn form the county budget estimates and establish financial and economic priori</w:t>
      </w:r>
      <w:r>
        <w:rPr>
          <w:rFonts w:ascii="Gill Sans MT" w:hAnsi="Gill Sans MT"/>
          <w:bCs/>
          <w:sz w:val="24"/>
          <w:szCs w:val="24"/>
        </w:rPr>
        <w:t xml:space="preserve">ties for the county. This empowers the counties to borrow from other sources for the development programmes with the approval of the national government. Such funds can be used for upgrading of informal settlements within their jurisdictions. The Acts has </w:t>
      </w:r>
      <w:r>
        <w:rPr>
          <w:rFonts w:ascii="Gill Sans MT" w:hAnsi="Gill Sans MT"/>
          <w:bCs/>
          <w:sz w:val="24"/>
          <w:szCs w:val="24"/>
        </w:rPr>
        <w:t>also not achieved much due to unfavorable models of implementation and in some cases elements of ambiguity, hostile or contradictory provisions. The Ministry of Land, Housing and Urban Development therefore established the Department of Slum Upgrading sinc</w:t>
      </w:r>
      <w:r>
        <w:rPr>
          <w:rFonts w:ascii="Gill Sans MT" w:hAnsi="Gill Sans MT"/>
          <w:bCs/>
          <w:sz w:val="24"/>
          <w:szCs w:val="24"/>
        </w:rPr>
        <w:t>e the lifetime of KENSUP had elapsed, to continue spearheading the programmes and activities that have been in operation.</w:t>
      </w:r>
    </w:p>
    <w:p w14:paraId="5EEFFA4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761497D" w14:textId="77777777" w:rsidR="00E258FD" w:rsidRDefault="001372B9">
      <w:pPr>
        <w:pStyle w:val="Heading2"/>
        <w:spacing w:before="0" w:beforeAutospacing="0" w:line="360" w:lineRule="auto"/>
        <w:rPr>
          <w:rFonts w:ascii="Gill Sans MT" w:hAnsi="Gill Sans MT"/>
          <w:color w:val="0070C0"/>
        </w:rPr>
      </w:pPr>
      <w:bookmarkStart w:id="36" w:name="_Toc106369912"/>
      <w:r>
        <w:rPr>
          <w:rFonts w:ascii="Gill Sans MT" w:hAnsi="Gill Sans MT"/>
          <w:color w:val="0070C0"/>
        </w:rPr>
        <w:t>3.4 Community-Government Efforts in Co-ownership and Co-production in Slum Upgrading Initiatives</w:t>
      </w:r>
      <w:bookmarkEnd w:id="36"/>
    </w:p>
    <w:p w14:paraId="2A4D1621" w14:textId="77777777" w:rsidR="00E258FD" w:rsidRDefault="00E258FD">
      <w:pPr>
        <w:pStyle w:val="ListParagraph"/>
        <w:autoSpaceDE w:val="0"/>
        <w:autoSpaceDN w:val="0"/>
        <w:adjustRightInd w:val="0"/>
        <w:spacing w:before="0" w:beforeAutospacing="0" w:after="0" w:line="360" w:lineRule="auto"/>
        <w:ind w:left="1260"/>
        <w:jc w:val="both"/>
        <w:rPr>
          <w:rFonts w:ascii="Gill Sans MT" w:hAnsi="Gill Sans MT"/>
          <w:b/>
          <w:sz w:val="24"/>
          <w:szCs w:val="24"/>
        </w:rPr>
      </w:pPr>
    </w:p>
    <w:p w14:paraId="6A56C208" w14:textId="77777777" w:rsidR="00E258FD" w:rsidRDefault="001372B9">
      <w:pPr>
        <w:pStyle w:val="Heading3"/>
        <w:spacing w:before="0" w:beforeAutospacing="0" w:line="360" w:lineRule="auto"/>
        <w:rPr>
          <w:rFonts w:ascii="Gill Sans MT" w:hAnsi="Gill Sans MT"/>
          <w:i/>
          <w:color w:val="538135"/>
          <w:sz w:val="24"/>
          <w:szCs w:val="24"/>
        </w:rPr>
      </w:pPr>
      <w:bookmarkStart w:id="37" w:name="_Toc106369913"/>
      <w:r>
        <w:rPr>
          <w:rFonts w:ascii="Gill Sans MT" w:hAnsi="Gill Sans MT"/>
          <w:i/>
          <w:color w:val="538135"/>
          <w:sz w:val="24"/>
          <w:szCs w:val="24"/>
        </w:rPr>
        <w:lastRenderedPageBreak/>
        <w:t xml:space="preserve">3.4.1 Communities And </w:t>
      </w:r>
      <w:r>
        <w:rPr>
          <w:rFonts w:ascii="Gill Sans MT" w:hAnsi="Gill Sans MT"/>
          <w:i/>
          <w:color w:val="538135"/>
          <w:sz w:val="24"/>
          <w:szCs w:val="24"/>
        </w:rPr>
        <w:t>Resource Mobilization</w:t>
      </w:r>
      <w:bookmarkEnd w:id="37"/>
      <w:r>
        <w:rPr>
          <w:rFonts w:ascii="Gill Sans MT" w:hAnsi="Gill Sans MT"/>
          <w:i/>
          <w:color w:val="538135"/>
          <w:sz w:val="24"/>
          <w:szCs w:val="24"/>
        </w:rPr>
        <w:t xml:space="preserve"> </w:t>
      </w:r>
    </w:p>
    <w:p w14:paraId="1D5EA924" w14:textId="77777777" w:rsidR="00E258FD" w:rsidRDefault="001372B9">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lang w:eastAsia="zh-CN"/>
        </w:rPr>
      </w:pPr>
      <w:r>
        <w:rPr>
          <w:rFonts w:ascii="Gill Sans MT" w:hAnsi="Gill Sans MT"/>
          <w:bCs/>
          <w:sz w:val="24"/>
          <w:szCs w:val="24"/>
          <w:lang w:eastAsia="zh-CN"/>
        </w:rPr>
        <w:t>In a bid to realise a co-production model in which the state and communities achieved a win-win the Muungano Alliance adopted a financing model that set up an urban poor fund AMT, in 2003. “The ideology and practical rationale behind</w:t>
      </w:r>
      <w:r>
        <w:rPr>
          <w:rFonts w:ascii="Gill Sans MT" w:hAnsi="Gill Sans MT"/>
          <w:bCs/>
          <w:sz w:val="24"/>
          <w:szCs w:val="24"/>
          <w:lang w:eastAsia="zh-CN"/>
        </w:rPr>
        <w:t xml:space="preserve"> SDI’s tools differed from the movement’s initial, predominantly protest-based approach, and this divided Muungano’s original grassroots base.” Leaders in the settlements were mobilised to help communities form savings groups for the building of savings th</w:t>
      </w:r>
      <w:r>
        <w:rPr>
          <w:rFonts w:ascii="Gill Sans MT" w:hAnsi="Gill Sans MT"/>
          <w:bCs/>
          <w:sz w:val="24"/>
          <w:szCs w:val="24"/>
          <w:lang w:eastAsia="zh-CN"/>
        </w:rPr>
        <w:t>at would be used to pursue upgrading solutions. Over time this approach has in part influenced the changing perception of government towards the informal settlements.</w:t>
      </w:r>
    </w:p>
    <w:p w14:paraId="538B83B2" w14:textId="77777777" w:rsidR="00E258FD" w:rsidRDefault="00E258FD">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rPr>
      </w:pPr>
    </w:p>
    <w:p w14:paraId="2A4837A8" w14:textId="77777777" w:rsidR="00E258FD" w:rsidRDefault="001372B9">
      <w:pPr>
        <w:pStyle w:val="Heading3"/>
        <w:spacing w:before="0" w:beforeAutospacing="0" w:line="360" w:lineRule="auto"/>
        <w:rPr>
          <w:rFonts w:ascii="Gill Sans MT" w:hAnsi="Gill Sans MT"/>
          <w:i/>
          <w:color w:val="538135"/>
          <w:sz w:val="24"/>
          <w:szCs w:val="24"/>
        </w:rPr>
      </w:pPr>
      <w:bookmarkStart w:id="38" w:name="_Toc106369914"/>
      <w:r>
        <w:rPr>
          <w:rFonts w:ascii="Gill Sans MT" w:hAnsi="Gill Sans MT"/>
          <w:i/>
          <w:color w:val="538135"/>
          <w:sz w:val="24"/>
          <w:szCs w:val="24"/>
        </w:rPr>
        <w:t>3.4.2 Informal Settlements Mapping And Databases</w:t>
      </w:r>
      <w:bookmarkEnd w:id="38"/>
    </w:p>
    <w:p w14:paraId="2F8BE267" w14:textId="77777777" w:rsidR="00E258FD" w:rsidRDefault="001372B9">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lang w:eastAsia="zh-CN"/>
        </w:rPr>
      </w:pPr>
      <w:r>
        <w:rPr>
          <w:rFonts w:ascii="Gill Sans MT" w:hAnsi="Gill Sans MT"/>
          <w:bCs/>
          <w:sz w:val="24"/>
          <w:szCs w:val="24"/>
          <w:lang w:eastAsia="zh-CN"/>
        </w:rPr>
        <w:t>The relationship between data collected</w:t>
      </w:r>
      <w:r>
        <w:rPr>
          <w:rFonts w:ascii="Gill Sans MT" w:hAnsi="Gill Sans MT"/>
          <w:bCs/>
          <w:sz w:val="24"/>
          <w:szCs w:val="24"/>
          <w:lang w:eastAsia="zh-CN"/>
        </w:rPr>
        <w:t xml:space="preserve"> about slums by their residents and the formulation of urban policy in Kenya is not a direct one. Data is intended to generate targeted response to very specific issues often a very political process depending on whether the data was gathered collaborative</w:t>
      </w:r>
      <w:r>
        <w:rPr>
          <w:rFonts w:ascii="Gill Sans MT" w:hAnsi="Gill Sans MT"/>
          <w:bCs/>
          <w:sz w:val="24"/>
          <w:szCs w:val="24"/>
          <w:lang w:eastAsia="zh-CN"/>
        </w:rPr>
        <w:t>ly or without government agencies on board. The experience however in community mapping and enumeration has been to catalyse change and improve perceptions and practice for both the community and state actors. The promulgation of a progressive Constitution</w:t>
      </w:r>
      <w:r>
        <w:rPr>
          <w:rFonts w:ascii="Gill Sans MT" w:hAnsi="Gill Sans MT"/>
          <w:bCs/>
          <w:sz w:val="24"/>
          <w:szCs w:val="24"/>
          <w:lang w:eastAsia="zh-CN"/>
        </w:rPr>
        <w:t xml:space="preserve"> in 2010, has obligated County governments to confront the challenges faced by residents of informal settlements which has given immense value to the skills for community-based data collection. The power dynamics that play out during the enumeration exerci</w:t>
      </w:r>
      <w:r>
        <w:rPr>
          <w:rFonts w:ascii="Gill Sans MT" w:hAnsi="Gill Sans MT"/>
          <w:bCs/>
          <w:sz w:val="24"/>
          <w:szCs w:val="24"/>
          <w:lang w:eastAsia="zh-CN"/>
        </w:rPr>
        <w:t>se is a whole experience that helps actors to navigate the complexities of informal settlements</w:t>
      </w:r>
      <w:r>
        <w:rPr>
          <w:rStyle w:val="FootnoteReference"/>
          <w:rFonts w:ascii="Gill Sans MT" w:hAnsi="Gill Sans MT"/>
          <w:bCs/>
          <w:sz w:val="24"/>
          <w:szCs w:val="24"/>
          <w:lang w:eastAsia="zh-CN"/>
        </w:rPr>
        <w:footnoteReference w:id="36"/>
      </w:r>
      <w:r>
        <w:rPr>
          <w:rFonts w:ascii="Gill Sans MT" w:hAnsi="Gill Sans MT"/>
          <w:bCs/>
          <w:sz w:val="24"/>
          <w:szCs w:val="24"/>
          <w:lang w:eastAsia="zh-CN"/>
        </w:rPr>
        <w:t xml:space="preserve">. </w:t>
      </w:r>
    </w:p>
    <w:p w14:paraId="24795001" w14:textId="77777777" w:rsidR="00E258FD" w:rsidRDefault="00E258FD">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lang w:eastAsia="zh-CN"/>
        </w:rPr>
      </w:pPr>
    </w:p>
    <w:p w14:paraId="5CFEEDE2" w14:textId="77777777" w:rsidR="00E258FD" w:rsidRDefault="001372B9">
      <w:pPr>
        <w:pStyle w:val="Heading3"/>
        <w:spacing w:before="0" w:beforeAutospacing="0" w:line="360" w:lineRule="auto"/>
        <w:rPr>
          <w:rFonts w:ascii="Gill Sans MT" w:hAnsi="Gill Sans MT"/>
          <w:i/>
          <w:color w:val="538135"/>
          <w:sz w:val="24"/>
          <w:szCs w:val="24"/>
        </w:rPr>
      </w:pPr>
      <w:bookmarkStart w:id="39" w:name="_Toc106369915"/>
      <w:r>
        <w:rPr>
          <w:rFonts w:ascii="Gill Sans MT" w:hAnsi="Gill Sans MT"/>
          <w:i/>
          <w:color w:val="538135"/>
          <w:sz w:val="24"/>
          <w:szCs w:val="24"/>
        </w:rPr>
        <w:t>3.4.3 Settlement Committees</w:t>
      </w:r>
      <w:bookmarkEnd w:id="39"/>
    </w:p>
    <w:p w14:paraId="3AF8E7CB" w14:textId="77777777" w:rsidR="00E258FD" w:rsidRDefault="001372B9">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lang w:eastAsia="zh-CN"/>
        </w:rPr>
        <w:t>Amnesty International (2009) in its review of KENSUP confirms that the Soweto East community was represented by an elected 16-me</w:t>
      </w:r>
      <w:r>
        <w:rPr>
          <w:rFonts w:ascii="Gill Sans MT" w:hAnsi="Gill Sans MT"/>
          <w:bCs/>
          <w:sz w:val="24"/>
          <w:szCs w:val="24"/>
          <w:lang w:eastAsia="zh-CN"/>
        </w:rPr>
        <w:t>mber Settlement Executive Committee (SEC) whose main role was to act as a link between the Programme Implementation Unit and the community. The local Chief and District Officer sat on the SEC as unelected members representing the Provincial Government Admi</w:t>
      </w:r>
      <w:r>
        <w:rPr>
          <w:rFonts w:ascii="Gill Sans MT" w:hAnsi="Gill Sans MT"/>
          <w:bCs/>
          <w:sz w:val="24"/>
          <w:szCs w:val="24"/>
          <w:lang w:eastAsia="zh-CN"/>
        </w:rPr>
        <w:t xml:space="preserve">nistration. SEC members were to be regularly involved in the project’s meetings and were expected to communicate agreed decisions to the community, particularly </w:t>
      </w:r>
      <w:r>
        <w:rPr>
          <w:rFonts w:ascii="Gill Sans MT" w:hAnsi="Gill Sans MT"/>
          <w:bCs/>
          <w:sz w:val="24"/>
          <w:szCs w:val="24"/>
          <w:lang w:eastAsia="zh-CN"/>
        </w:rPr>
        <w:lastRenderedPageBreak/>
        <w:t>through the Provincial Government Administration. The community had misgivings about the proces</w:t>
      </w:r>
      <w:r>
        <w:rPr>
          <w:rFonts w:ascii="Gill Sans MT" w:hAnsi="Gill Sans MT"/>
          <w:bCs/>
          <w:sz w:val="24"/>
          <w:szCs w:val="24"/>
          <w:lang w:eastAsia="zh-CN"/>
        </w:rPr>
        <w:t>s of electing SEC members and thus attendance was not regular. This hampered communication between the community and decision makers in charge of the project. It is such gaps that lead to lack of concurrence on design, location of temporary site, size of u</w:t>
      </w:r>
      <w:r>
        <w:rPr>
          <w:rFonts w:ascii="Gill Sans MT" w:hAnsi="Gill Sans MT"/>
          <w:bCs/>
          <w:sz w:val="24"/>
          <w:szCs w:val="24"/>
          <w:lang w:eastAsia="zh-CN"/>
        </w:rPr>
        <w:t>nit and cost that in reality led to units that were not affordable. “The lack of information and consultation, coupled with the general failure of a number of past slum upgrading projects in Kenya to benefit the majority of the targeted urban poor, has led</w:t>
      </w:r>
      <w:r>
        <w:rPr>
          <w:rFonts w:ascii="Gill Sans MT" w:hAnsi="Gill Sans MT"/>
          <w:bCs/>
          <w:sz w:val="24"/>
          <w:szCs w:val="24"/>
          <w:lang w:eastAsia="zh-CN"/>
        </w:rPr>
        <w:t xml:space="preserve"> to a general distrust towards the project.” (Amnesty 2009) </w:t>
      </w:r>
    </w:p>
    <w:p w14:paraId="79E137C6" w14:textId="77777777" w:rsidR="00E258FD" w:rsidRDefault="001372B9">
      <w:pPr>
        <w:spacing w:line="360" w:lineRule="auto"/>
        <w:rPr>
          <w:rFonts w:ascii="Gill Sans MT" w:hAnsi="Gill Sans MT"/>
          <w:bCs/>
          <w:sz w:val="24"/>
          <w:szCs w:val="24"/>
        </w:rPr>
      </w:pPr>
      <w:r>
        <w:rPr>
          <w:rFonts w:ascii="Gill Sans MT" w:hAnsi="Gill Sans MT"/>
          <w:bCs/>
          <w:sz w:val="24"/>
          <w:szCs w:val="24"/>
        </w:rPr>
        <w:br w:type="page"/>
      </w:r>
    </w:p>
    <w:p w14:paraId="5025AFC0" w14:textId="77777777" w:rsidR="00E258FD" w:rsidRDefault="00E258FD">
      <w:pPr>
        <w:spacing w:line="360" w:lineRule="auto"/>
        <w:rPr>
          <w:rFonts w:ascii="Gill Sans MT" w:hAnsi="Gill Sans MT"/>
          <w:bCs/>
          <w:sz w:val="24"/>
          <w:szCs w:val="24"/>
        </w:rPr>
        <w:sectPr w:rsidR="00E258FD">
          <w:pgSz w:w="12240" w:h="15840"/>
          <w:pgMar w:top="1260" w:right="1440" w:bottom="1440" w:left="1440" w:header="720" w:footer="720" w:gutter="0"/>
          <w:pgNumType w:start="1"/>
          <w:cols w:space="720"/>
          <w:docGrid w:linePitch="360"/>
        </w:sectPr>
      </w:pPr>
    </w:p>
    <w:p w14:paraId="50D4264D"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40" w:name="_Toc106369916"/>
      <w:r>
        <w:rPr>
          <w:rStyle w:val="BookTitle"/>
          <w:b/>
          <w:bCs w:val="0"/>
          <w:smallCaps w:val="0"/>
          <w:color w:val="0070C0"/>
          <w:spacing w:val="0"/>
          <w:sz w:val="28"/>
        </w:rPr>
        <w:lastRenderedPageBreak/>
        <w:t>CHAPTER FOUR</w:t>
      </w:r>
      <w:bookmarkEnd w:id="40"/>
    </w:p>
    <w:p w14:paraId="75CE31BC"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41" w:name="_Toc106369917"/>
      <w:r>
        <w:rPr>
          <w:rStyle w:val="BookTitle"/>
          <w:b/>
          <w:bCs w:val="0"/>
          <w:smallCaps w:val="0"/>
          <w:color w:val="0070C0"/>
          <w:spacing w:val="0"/>
          <w:sz w:val="28"/>
        </w:rPr>
        <w:t>SLUM UPGRADING PROGRAM PROGRESS (LEGAL, POLICY AND/OR BUDGETARY INTERVENTION)</w:t>
      </w:r>
      <w:bookmarkEnd w:id="41"/>
    </w:p>
    <w:p w14:paraId="0256EA5E" w14:textId="77777777" w:rsidR="00E258FD" w:rsidRDefault="00E258FD">
      <w:pPr>
        <w:spacing w:before="0" w:beforeAutospacing="0" w:after="0" w:line="360" w:lineRule="auto"/>
        <w:rPr>
          <w:rFonts w:ascii="Gill Sans MT" w:hAnsi="Gill Sans MT"/>
          <w:b/>
          <w:bCs/>
          <w:sz w:val="24"/>
          <w:szCs w:val="24"/>
        </w:rPr>
      </w:pPr>
    </w:p>
    <w:p w14:paraId="5B69CF5F" w14:textId="77777777" w:rsidR="00E258FD" w:rsidRDefault="001372B9">
      <w:pPr>
        <w:pStyle w:val="Caption"/>
        <w:keepNext/>
        <w:spacing w:after="0" w:line="360" w:lineRule="auto"/>
        <w:jc w:val="center"/>
        <w:rPr>
          <w:rFonts w:ascii="Gill Sans MT" w:hAnsi="Gill Sans MT"/>
          <w:b w:val="0"/>
          <w:color w:val="auto"/>
          <w:sz w:val="24"/>
        </w:rPr>
      </w:pPr>
      <w:bookmarkStart w:id="42" w:name="_Toc106370781"/>
      <w:r>
        <w:rPr>
          <w:rFonts w:ascii="Gill Sans MT" w:hAnsi="Gill Sans MT"/>
          <w:b w:val="0"/>
          <w:color w:val="auto"/>
          <w:sz w:val="24"/>
        </w:rPr>
        <w:t xml:space="preserve">Table </w:t>
      </w:r>
      <w:r>
        <w:rPr>
          <w:rFonts w:ascii="Gill Sans MT" w:hAnsi="Gill Sans MT"/>
          <w:b w:val="0"/>
          <w:color w:val="auto"/>
          <w:sz w:val="24"/>
        </w:rPr>
        <w:fldChar w:fldCharType="begin"/>
      </w:r>
      <w:r>
        <w:rPr>
          <w:rFonts w:ascii="Gill Sans MT" w:hAnsi="Gill Sans MT"/>
          <w:b w:val="0"/>
          <w:color w:val="auto"/>
          <w:sz w:val="24"/>
        </w:rPr>
        <w:instrText xml:space="preserve"> SEQ Table \* ARABIC </w:instrText>
      </w:r>
      <w:r>
        <w:rPr>
          <w:rFonts w:ascii="Gill Sans MT" w:hAnsi="Gill Sans MT"/>
          <w:b w:val="0"/>
          <w:color w:val="auto"/>
          <w:sz w:val="24"/>
        </w:rPr>
        <w:fldChar w:fldCharType="separate"/>
      </w:r>
      <w:r>
        <w:rPr>
          <w:rFonts w:ascii="Gill Sans MT" w:hAnsi="Gill Sans MT"/>
          <w:b w:val="0"/>
          <w:noProof/>
          <w:color w:val="auto"/>
          <w:sz w:val="24"/>
        </w:rPr>
        <w:t>1</w:t>
      </w:r>
      <w:r>
        <w:rPr>
          <w:rFonts w:ascii="Gill Sans MT" w:hAnsi="Gill Sans MT"/>
          <w:b w:val="0"/>
          <w:color w:val="auto"/>
          <w:sz w:val="24"/>
        </w:rPr>
        <w:fldChar w:fldCharType="end"/>
      </w:r>
      <w:r>
        <w:rPr>
          <w:rFonts w:ascii="Gill Sans MT" w:hAnsi="Gill Sans MT"/>
          <w:b w:val="0"/>
          <w:color w:val="auto"/>
          <w:sz w:val="24"/>
        </w:rPr>
        <w:t xml:space="preserve">: Slum Upgrading Program Progress – legal, policy and </w:t>
      </w:r>
      <w:r>
        <w:rPr>
          <w:rFonts w:ascii="Gill Sans MT" w:hAnsi="Gill Sans MT"/>
          <w:b w:val="0"/>
          <w:color w:val="auto"/>
          <w:sz w:val="24"/>
        </w:rPr>
        <w:t>budgetary intervention Matrix</w:t>
      </w:r>
      <w:bookmarkEnd w:id="42"/>
    </w:p>
    <w:tbl>
      <w:tblPr>
        <w:tblStyle w:val="TableGrid"/>
        <w:tblW w:w="5557" w:type="pct"/>
        <w:jc w:val="center"/>
        <w:tblLayout w:type="fixed"/>
        <w:tblLook w:val="04A0" w:firstRow="1" w:lastRow="0" w:firstColumn="1" w:lastColumn="0" w:noHBand="0" w:noVBand="1"/>
      </w:tblPr>
      <w:tblGrid>
        <w:gridCol w:w="3509"/>
        <w:gridCol w:w="4025"/>
        <w:gridCol w:w="3206"/>
        <w:gridCol w:w="3845"/>
      </w:tblGrid>
      <w:tr w:rsidR="00E258FD" w14:paraId="4F1437B3" w14:textId="77777777">
        <w:trPr>
          <w:jc w:val="center"/>
        </w:trPr>
        <w:tc>
          <w:tcPr>
            <w:tcW w:w="1203" w:type="pct"/>
          </w:tcPr>
          <w:p w14:paraId="05454456" w14:textId="77777777" w:rsidR="00E258FD" w:rsidRDefault="001372B9">
            <w:pPr>
              <w:spacing w:before="0" w:beforeAutospacing="0" w:after="0" w:line="276" w:lineRule="auto"/>
              <w:jc w:val="center"/>
              <w:rPr>
                <w:rFonts w:ascii="Gill Sans MT" w:hAnsi="Gill Sans MT"/>
                <w:b/>
                <w:bCs/>
              </w:rPr>
            </w:pPr>
            <w:r>
              <w:rPr>
                <w:rFonts w:ascii="Gill Sans MT" w:hAnsi="Gill Sans MT"/>
                <w:b/>
                <w:bCs/>
              </w:rPr>
              <w:t>PROGRAM/INTERVENTION</w:t>
            </w:r>
          </w:p>
        </w:tc>
        <w:tc>
          <w:tcPr>
            <w:tcW w:w="1380" w:type="pct"/>
          </w:tcPr>
          <w:p w14:paraId="4D5B5309" w14:textId="77777777" w:rsidR="00E258FD" w:rsidRDefault="001372B9">
            <w:pPr>
              <w:spacing w:before="0" w:beforeAutospacing="0" w:after="0" w:line="276" w:lineRule="auto"/>
              <w:jc w:val="center"/>
              <w:rPr>
                <w:rFonts w:ascii="Gill Sans MT" w:hAnsi="Gill Sans MT"/>
                <w:b/>
                <w:bCs/>
              </w:rPr>
            </w:pPr>
            <w:r>
              <w:rPr>
                <w:rFonts w:ascii="Gill Sans MT" w:hAnsi="Gill Sans MT"/>
                <w:b/>
                <w:bCs/>
              </w:rPr>
              <w:t>STATUS/PROGRESS</w:t>
            </w:r>
          </w:p>
        </w:tc>
        <w:tc>
          <w:tcPr>
            <w:tcW w:w="1099" w:type="pct"/>
          </w:tcPr>
          <w:p w14:paraId="438D5829" w14:textId="77777777" w:rsidR="00E258FD" w:rsidRDefault="001372B9">
            <w:pPr>
              <w:spacing w:before="0" w:beforeAutospacing="0" w:after="0" w:line="276" w:lineRule="auto"/>
              <w:jc w:val="center"/>
              <w:rPr>
                <w:rFonts w:ascii="Gill Sans MT" w:hAnsi="Gill Sans MT"/>
                <w:b/>
                <w:bCs/>
              </w:rPr>
            </w:pPr>
            <w:r>
              <w:rPr>
                <w:rFonts w:ascii="Gill Sans MT" w:hAnsi="Gill Sans MT"/>
                <w:b/>
                <w:bCs/>
              </w:rPr>
              <w:t>OBSERVATIONS</w:t>
            </w:r>
          </w:p>
        </w:tc>
        <w:tc>
          <w:tcPr>
            <w:tcW w:w="1318" w:type="pct"/>
          </w:tcPr>
          <w:p w14:paraId="207BF935" w14:textId="77777777" w:rsidR="00E258FD" w:rsidRDefault="001372B9">
            <w:pPr>
              <w:spacing w:before="0" w:beforeAutospacing="0" w:after="0" w:line="276" w:lineRule="auto"/>
              <w:jc w:val="center"/>
              <w:rPr>
                <w:rFonts w:ascii="Gill Sans MT" w:hAnsi="Gill Sans MT"/>
                <w:b/>
                <w:bCs/>
              </w:rPr>
            </w:pPr>
            <w:r>
              <w:rPr>
                <w:rFonts w:ascii="Gill Sans MT" w:hAnsi="Gill Sans MT"/>
                <w:b/>
                <w:bCs/>
              </w:rPr>
              <w:t>RECOMMENDATIONS</w:t>
            </w:r>
          </w:p>
        </w:tc>
      </w:tr>
      <w:tr w:rsidR="00E258FD" w14:paraId="31D2A5BC" w14:textId="77777777">
        <w:trPr>
          <w:jc w:val="center"/>
        </w:trPr>
        <w:tc>
          <w:tcPr>
            <w:tcW w:w="1203" w:type="pct"/>
          </w:tcPr>
          <w:p w14:paraId="55A9B8E0" w14:textId="77777777" w:rsidR="00E258FD" w:rsidRDefault="001372B9">
            <w:pPr>
              <w:spacing w:before="0" w:beforeAutospacing="0" w:after="0" w:line="276" w:lineRule="auto"/>
              <w:jc w:val="both"/>
              <w:rPr>
                <w:rFonts w:ascii="Gill Sans MT" w:hAnsi="Gill Sans MT"/>
                <w:bCs/>
              </w:rPr>
            </w:pPr>
            <w:r>
              <w:rPr>
                <w:rFonts w:ascii="Gill Sans MT" w:hAnsi="Gill Sans MT"/>
                <w:bCs/>
              </w:rPr>
              <w:t>Kenya Informal Settlement Improvement Project (KISIP)</w:t>
            </w:r>
          </w:p>
        </w:tc>
        <w:tc>
          <w:tcPr>
            <w:tcW w:w="1380" w:type="pct"/>
          </w:tcPr>
          <w:p w14:paraId="6B2643F6"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The project was commenced and took place in 15 towns in Kenya. </w:t>
            </w:r>
          </w:p>
          <w:p w14:paraId="360A255C"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According to Government reports, so far 30 meter high mast security lighting have been installed; </w:t>
            </w:r>
          </w:p>
          <w:p w14:paraId="3E4810F7"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A total of 43.26 kms of access roads have been constructed to bitumen standards; </w:t>
            </w:r>
          </w:p>
          <w:p w14:paraId="6DBFA5B3"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A total of </w:t>
            </w:r>
            <w:r>
              <w:rPr>
                <w:rFonts w:ascii="Gill Sans MT" w:hAnsi="Gill Sans MT"/>
                <w:bCs/>
              </w:rPr>
              <w:t xml:space="preserve">35.429 kms of foot paths have been constructed; </w:t>
            </w:r>
          </w:p>
          <w:p w14:paraId="6C44B94A"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A total of 46.98 kms of drainage system constructed. </w:t>
            </w:r>
          </w:p>
          <w:p w14:paraId="23853010"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In addition to access roads that were constructed in this project, some pedestrian walk ways were also constructed. </w:t>
            </w:r>
          </w:p>
        </w:tc>
        <w:tc>
          <w:tcPr>
            <w:tcW w:w="1099" w:type="pct"/>
          </w:tcPr>
          <w:p w14:paraId="4791AA1B"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 xml:space="preserve">The challenge is that the commencement of the project was extremely delayed. </w:t>
            </w:r>
          </w:p>
          <w:p w14:paraId="3A37B4E9"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 xml:space="preserve">The project was complicated with little or no access to information that would have enabled stakeholders to engage meaningfully. </w:t>
            </w:r>
          </w:p>
          <w:p w14:paraId="06242617"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Due to competing interests, communities found it</w:t>
            </w:r>
            <w:r>
              <w:rPr>
                <w:rFonts w:ascii="Gill Sans MT" w:hAnsi="Gill Sans MT"/>
                <w:bCs/>
              </w:rPr>
              <w:t xml:space="preserve"> difficult to choose between housing as a serious rights issue and short term needs given the limited resources. </w:t>
            </w:r>
          </w:p>
        </w:tc>
        <w:tc>
          <w:tcPr>
            <w:tcW w:w="1318" w:type="pct"/>
          </w:tcPr>
          <w:p w14:paraId="33D5F2DC"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The government needs a robust strategy for meaningful engagement in setting community priorities.</w:t>
            </w:r>
          </w:p>
        </w:tc>
      </w:tr>
      <w:tr w:rsidR="00E258FD" w14:paraId="3CC8B746" w14:textId="77777777">
        <w:trPr>
          <w:jc w:val="center"/>
        </w:trPr>
        <w:tc>
          <w:tcPr>
            <w:tcW w:w="1203" w:type="pct"/>
          </w:tcPr>
          <w:p w14:paraId="792CDF88" w14:textId="77777777" w:rsidR="00E258FD" w:rsidRDefault="001372B9">
            <w:pPr>
              <w:spacing w:before="0" w:beforeAutospacing="0" w:after="0" w:line="276" w:lineRule="auto"/>
              <w:jc w:val="both"/>
              <w:rPr>
                <w:rFonts w:ascii="Gill Sans MT" w:hAnsi="Gill Sans MT"/>
                <w:bCs/>
              </w:rPr>
            </w:pPr>
            <w:r>
              <w:rPr>
                <w:rFonts w:ascii="Gill Sans MT" w:hAnsi="Gill Sans MT"/>
                <w:bCs/>
              </w:rPr>
              <w:t xml:space="preserve">Kenya Slum Upgrading programme (KENSUP) </w:t>
            </w:r>
          </w:p>
          <w:p w14:paraId="49885420" w14:textId="77777777" w:rsidR="00E258FD" w:rsidRDefault="00E258FD">
            <w:pPr>
              <w:spacing w:before="0" w:beforeAutospacing="0" w:after="0" w:line="276" w:lineRule="auto"/>
              <w:jc w:val="both"/>
              <w:rPr>
                <w:rFonts w:ascii="Gill Sans MT" w:hAnsi="Gill Sans MT"/>
                <w:bCs/>
              </w:rPr>
            </w:pPr>
          </w:p>
          <w:p w14:paraId="0E1022E0" w14:textId="77777777" w:rsidR="00E258FD" w:rsidRDefault="00E258FD">
            <w:pPr>
              <w:spacing w:before="0" w:beforeAutospacing="0" w:after="0" w:line="276" w:lineRule="auto"/>
              <w:jc w:val="both"/>
              <w:rPr>
                <w:rFonts w:ascii="Gill Sans MT" w:hAnsi="Gill Sans MT"/>
                <w:bCs/>
              </w:rPr>
            </w:pPr>
          </w:p>
        </w:tc>
        <w:tc>
          <w:tcPr>
            <w:tcW w:w="1380" w:type="pct"/>
          </w:tcPr>
          <w:p w14:paraId="1C169749"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Implemented for the benefit the intended beneficiaries.</w:t>
            </w:r>
          </w:p>
          <w:p w14:paraId="29B68FEE"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The design of the units also does not consider infusing human rights principles, for example cultural rights. </w:t>
            </w:r>
          </w:p>
          <w:p w14:paraId="5BBC7114"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lastRenderedPageBreak/>
              <w:t>Most units are single bedroom, with children and parents sharing rooms.</w:t>
            </w:r>
          </w:p>
        </w:tc>
        <w:tc>
          <w:tcPr>
            <w:tcW w:w="1099" w:type="pct"/>
          </w:tcPr>
          <w:p w14:paraId="674B0160"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lastRenderedPageBreak/>
              <w:t>Effective monitor</w:t>
            </w:r>
            <w:r>
              <w:rPr>
                <w:rFonts w:ascii="Gill Sans MT" w:hAnsi="Gill Sans MT"/>
                <w:bCs/>
              </w:rPr>
              <w:t xml:space="preserve">ing mechanisms must be put in place to ensure project implementation is on course. </w:t>
            </w:r>
          </w:p>
        </w:tc>
        <w:tc>
          <w:tcPr>
            <w:tcW w:w="1318" w:type="pct"/>
          </w:tcPr>
          <w:p w14:paraId="4380BC68"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The State must have an engagement strategy to ensure inclusivity in project implementation of local community and Civil Society stakeholders.</w:t>
            </w:r>
          </w:p>
        </w:tc>
      </w:tr>
      <w:tr w:rsidR="00E258FD" w14:paraId="02125205" w14:textId="77777777">
        <w:trPr>
          <w:jc w:val="center"/>
        </w:trPr>
        <w:tc>
          <w:tcPr>
            <w:tcW w:w="1203" w:type="pct"/>
          </w:tcPr>
          <w:p w14:paraId="7B2BDBEE" w14:textId="77777777" w:rsidR="00E258FD" w:rsidRDefault="001372B9">
            <w:pPr>
              <w:spacing w:before="0" w:beforeAutospacing="0" w:after="0" w:line="276" w:lineRule="auto"/>
              <w:jc w:val="both"/>
              <w:rPr>
                <w:rFonts w:ascii="Gill Sans MT" w:hAnsi="Gill Sans MT"/>
                <w:bCs/>
              </w:rPr>
            </w:pPr>
            <w:r>
              <w:rPr>
                <w:rFonts w:ascii="Gill Sans MT" w:hAnsi="Gill Sans MT"/>
                <w:bCs/>
              </w:rPr>
              <w:t xml:space="preserve">National Slum </w:t>
            </w:r>
            <w:r>
              <w:rPr>
                <w:rFonts w:ascii="Gill Sans MT" w:hAnsi="Gill Sans MT"/>
                <w:bCs/>
              </w:rPr>
              <w:t>Upgrading and Prevention Policy.</w:t>
            </w:r>
          </w:p>
        </w:tc>
        <w:tc>
          <w:tcPr>
            <w:tcW w:w="1380" w:type="pct"/>
          </w:tcPr>
          <w:p w14:paraId="5CA1420E"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 xml:space="preserve">Policy was approved and adopted to guide the process of slum upgrading and prevention initiatives. </w:t>
            </w:r>
          </w:p>
          <w:p w14:paraId="316FF205"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However, the slow implementation of the Kenya Slum Upgrading Programme and the lack of advanced strategies have slowed down</w:t>
            </w:r>
            <w:r>
              <w:rPr>
                <w:rFonts w:ascii="Gill Sans MT" w:hAnsi="Gill Sans MT"/>
                <w:bCs/>
              </w:rPr>
              <w:t xml:space="preserve"> the process of building the second phase of the project.</w:t>
            </w:r>
          </w:p>
        </w:tc>
        <w:tc>
          <w:tcPr>
            <w:tcW w:w="1099" w:type="pct"/>
          </w:tcPr>
          <w:p w14:paraId="2EA488FA"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The lack of proper consultation and involvement of local community and Civil Society stakeholders have also contributed to the failure.</w:t>
            </w:r>
          </w:p>
        </w:tc>
        <w:tc>
          <w:tcPr>
            <w:tcW w:w="1318" w:type="pct"/>
          </w:tcPr>
          <w:p w14:paraId="7927AC85"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The State must have an engagement strategy to ensure inclusivi</w:t>
            </w:r>
            <w:r>
              <w:rPr>
                <w:rFonts w:ascii="Gill Sans MT" w:hAnsi="Gill Sans MT"/>
                <w:bCs/>
              </w:rPr>
              <w:t>ty in project implementation.</w:t>
            </w:r>
          </w:p>
        </w:tc>
      </w:tr>
      <w:tr w:rsidR="00E258FD" w14:paraId="72E65473" w14:textId="77777777">
        <w:trPr>
          <w:jc w:val="center"/>
        </w:trPr>
        <w:tc>
          <w:tcPr>
            <w:tcW w:w="1203" w:type="pct"/>
          </w:tcPr>
          <w:p w14:paraId="13E14C48" w14:textId="77777777" w:rsidR="00E258FD" w:rsidRDefault="001372B9">
            <w:pPr>
              <w:spacing w:before="0" w:beforeAutospacing="0" w:after="0" w:line="276" w:lineRule="auto"/>
              <w:jc w:val="both"/>
              <w:rPr>
                <w:rFonts w:ascii="Gill Sans MT" w:hAnsi="Gill Sans MT"/>
                <w:bCs/>
              </w:rPr>
            </w:pPr>
            <w:r>
              <w:rPr>
                <w:rFonts w:ascii="Gill Sans MT" w:hAnsi="Gill Sans MT"/>
                <w:bCs/>
              </w:rPr>
              <w:t xml:space="preserve">Urban Regeneration Projects within urban areas to activate </w:t>
            </w:r>
          </w:p>
          <w:p w14:paraId="45381E0E" w14:textId="77777777" w:rsidR="00E258FD" w:rsidRDefault="001372B9">
            <w:pPr>
              <w:spacing w:before="0" w:beforeAutospacing="0" w:after="0" w:line="276" w:lineRule="auto"/>
              <w:jc w:val="both"/>
              <w:rPr>
                <w:rFonts w:ascii="Gill Sans MT" w:hAnsi="Gill Sans MT"/>
                <w:bCs/>
              </w:rPr>
            </w:pPr>
            <w:r>
              <w:rPr>
                <w:rFonts w:ascii="Gill Sans MT" w:hAnsi="Gill Sans MT"/>
                <w:bCs/>
              </w:rPr>
              <w:t>Article 43(1)(b), which provides that ‘every person has the right to accessible and adequate housing and reasonable standards of sanitation’</w:t>
            </w:r>
          </w:p>
        </w:tc>
        <w:tc>
          <w:tcPr>
            <w:tcW w:w="1380" w:type="pct"/>
          </w:tcPr>
          <w:p w14:paraId="14E5DCE6"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The inception of Urban R</w:t>
            </w:r>
            <w:r>
              <w:rPr>
                <w:rFonts w:ascii="Gill Sans MT" w:hAnsi="Gill Sans MT"/>
                <w:bCs/>
              </w:rPr>
              <w:t xml:space="preserve">egeneration Projects within urban areas is crucial in improving access to affordable housing. </w:t>
            </w:r>
          </w:p>
          <w:p w14:paraId="515826EA"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However, the process of land acquisition, demolition and identification of beneficiaries together with proper involvement of the masses are the challenges that m</w:t>
            </w:r>
            <w:r>
              <w:rPr>
                <w:rFonts w:ascii="Gill Sans MT" w:hAnsi="Gill Sans MT"/>
                <w:bCs/>
              </w:rPr>
              <w:t>ust be addressed.</w:t>
            </w:r>
          </w:p>
          <w:p w14:paraId="3DD9C429"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In 2010, the demand for urban housing was estimated at 80,000 units a year, with demand projected to increase to nearly 300,000 units a year by 2050.</w:t>
            </w:r>
          </w:p>
        </w:tc>
        <w:tc>
          <w:tcPr>
            <w:tcW w:w="1099" w:type="pct"/>
          </w:tcPr>
          <w:p w14:paraId="66473AF9"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 xml:space="preserve">By comparison, in 2013 only 15,000 housing construction permits were issued in Nairobi County Government where housing demand is high. </w:t>
            </w:r>
          </w:p>
          <w:p w14:paraId="55AE59BE"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 xml:space="preserve">With this level of deficit, achieving the Kenya Vision 2030 will not be possible. </w:t>
            </w:r>
          </w:p>
          <w:p w14:paraId="1CB5AE75"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Most units are single bedroom, with c</w:t>
            </w:r>
            <w:r>
              <w:rPr>
                <w:rFonts w:ascii="Gill Sans MT" w:hAnsi="Gill Sans MT"/>
                <w:bCs/>
              </w:rPr>
              <w:t>hildren and parents sharing rooms.</w:t>
            </w:r>
          </w:p>
        </w:tc>
        <w:tc>
          <w:tcPr>
            <w:tcW w:w="1318" w:type="pct"/>
          </w:tcPr>
          <w:p w14:paraId="00F28F95"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Prioritization of social housing in the big four agenda especially for the most marginalized.</w:t>
            </w:r>
          </w:p>
          <w:p w14:paraId="747AE8C5"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 xml:space="preserve">Designs should </w:t>
            </w:r>
          </w:p>
          <w:p w14:paraId="2A40BCC3"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t>consider infusing human rights principles, for example cultural rights</w:t>
            </w:r>
          </w:p>
          <w:p w14:paraId="10965923" w14:textId="77777777" w:rsidR="00E258FD" w:rsidRDefault="00E258FD">
            <w:pPr>
              <w:spacing w:before="0" w:beforeAutospacing="0" w:after="0" w:line="276" w:lineRule="auto"/>
              <w:ind w:left="156" w:hanging="180"/>
              <w:rPr>
                <w:rFonts w:ascii="Gill Sans MT" w:hAnsi="Gill Sans MT"/>
                <w:bCs/>
              </w:rPr>
            </w:pPr>
          </w:p>
        </w:tc>
      </w:tr>
      <w:tr w:rsidR="00E258FD" w14:paraId="11A250C5" w14:textId="77777777">
        <w:trPr>
          <w:jc w:val="center"/>
        </w:trPr>
        <w:tc>
          <w:tcPr>
            <w:tcW w:w="1203" w:type="pct"/>
          </w:tcPr>
          <w:p w14:paraId="0942BD96" w14:textId="77777777" w:rsidR="00E258FD" w:rsidRDefault="001372B9">
            <w:pPr>
              <w:spacing w:before="0" w:beforeAutospacing="0" w:after="0" w:line="276" w:lineRule="auto"/>
              <w:jc w:val="both"/>
              <w:rPr>
                <w:rFonts w:ascii="Gill Sans MT" w:hAnsi="Gill Sans MT"/>
                <w:bCs/>
              </w:rPr>
            </w:pPr>
            <w:r>
              <w:rPr>
                <w:rFonts w:ascii="Gill Sans MT" w:hAnsi="Gill Sans MT"/>
                <w:bCs/>
              </w:rPr>
              <w:t xml:space="preserve">Implementation of the Resettlement and Forced Eviction Bill/Framework; Community Land Act </w:t>
            </w:r>
          </w:p>
        </w:tc>
        <w:tc>
          <w:tcPr>
            <w:tcW w:w="1380" w:type="pct"/>
          </w:tcPr>
          <w:p w14:paraId="606FD611"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The Land Laws Amendment Act of 2016 has provisions at Section 98 that stipulates how humane evictions should be conducted.</w:t>
            </w:r>
          </w:p>
          <w:p w14:paraId="3D743B51"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However, there is failure by State agencie</w:t>
            </w:r>
            <w:r>
              <w:rPr>
                <w:rFonts w:ascii="Gill Sans MT" w:hAnsi="Gill Sans MT"/>
                <w:bCs/>
              </w:rPr>
              <w:t xml:space="preserve">s to respect the guidelines </w:t>
            </w:r>
            <w:r>
              <w:rPr>
                <w:rFonts w:ascii="Gill Sans MT" w:hAnsi="Gill Sans MT"/>
                <w:bCs/>
              </w:rPr>
              <w:lastRenderedPageBreak/>
              <w:t xml:space="preserve">particularly in the informal sector settlements. </w:t>
            </w:r>
          </w:p>
          <w:p w14:paraId="2F1476E8" w14:textId="77777777" w:rsidR="00E258FD" w:rsidRDefault="001372B9">
            <w:pPr>
              <w:pStyle w:val="ListParagraph"/>
              <w:numPr>
                <w:ilvl w:val="0"/>
                <w:numId w:val="21"/>
              </w:numPr>
              <w:spacing w:before="0" w:beforeAutospacing="0" w:after="0" w:line="276" w:lineRule="auto"/>
              <w:jc w:val="both"/>
              <w:rPr>
                <w:rFonts w:ascii="Gill Sans MT" w:hAnsi="Gill Sans MT"/>
                <w:bCs/>
              </w:rPr>
            </w:pPr>
            <w:r>
              <w:rPr>
                <w:rFonts w:ascii="Gill Sans MT" w:hAnsi="Gill Sans MT"/>
                <w:bCs/>
              </w:rPr>
              <w:t>The Eviction and Resettlement Bill was shot down in Parliament and instead they passed the Land Laws (Amendment) Act 2016 which is silent on the UN basic principles and guideline</w:t>
            </w:r>
            <w:r>
              <w:rPr>
                <w:rFonts w:ascii="Gill Sans MT" w:hAnsi="Gill Sans MT"/>
                <w:bCs/>
              </w:rPr>
              <w:t>s on evictions and displacement of communities and groups.</w:t>
            </w:r>
          </w:p>
          <w:p w14:paraId="3F226C03" w14:textId="77777777" w:rsidR="00E258FD" w:rsidRDefault="00E258FD">
            <w:pPr>
              <w:tabs>
                <w:tab w:val="left" w:pos="252"/>
              </w:tabs>
              <w:spacing w:before="0" w:beforeAutospacing="0" w:after="0" w:line="276" w:lineRule="auto"/>
              <w:jc w:val="both"/>
              <w:rPr>
                <w:rFonts w:ascii="Gill Sans MT" w:hAnsi="Gill Sans MT"/>
                <w:bCs/>
              </w:rPr>
            </w:pPr>
          </w:p>
        </w:tc>
        <w:tc>
          <w:tcPr>
            <w:tcW w:w="1099" w:type="pct"/>
          </w:tcPr>
          <w:p w14:paraId="26967EBE"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lastRenderedPageBreak/>
              <w:t xml:space="preserve">The government adopted the Community Land Act 2016. This law was intended to improve land governance, management and administration. However, the implementation of this and </w:t>
            </w:r>
            <w:r>
              <w:rPr>
                <w:rFonts w:ascii="Gill Sans MT" w:hAnsi="Gill Sans MT"/>
                <w:bCs/>
              </w:rPr>
              <w:lastRenderedPageBreak/>
              <w:t>other laws remains a ch</w:t>
            </w:r>
            <w:r>
              <w:rPr>
                <w:rFonts w:ascii="Gill Sans MT" w:hAnsi="Gill Sans MT"/>
                <w:bCs/>
              </w:rPr>
              <w:t xml:space="preserve">allenge due to lack of commitment from government. </w:t>
            </w:r>
          </w:p>
          <w:p w14:paraId="7688F5B8"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Conflicts over land use, ownership and management especially community land on the increase.</w:t>
            </w:r>
          </w:p>
          <w:p w14:paraId="7F47849B" w14:textId="77777777" w:rsidR="00E258FD" w:rsidRDefault="001372B9">
            <w:pPr>
              <w:pStyle w:val="ListParagraph"/>
              <w:numPr>
                <w:ilvl w:val="0"/>
                <w:numId w:val="22"/>
              </w:numPr>
              <w:spacing w:before="0" w:beforeAutospacing="0" w:after="0" w:line="276" w:lineRule="auto"/>
              <w:jc w:val="both"/>
              <w:rPr>
                <w:rFonts w:ascii="Gill Sans MT" w:hAnsi="Gill Sans MT"/>
                <w:bCs/>
              </w:rPr>
            </w:pPr>
            <w:r>
              <w:rPr>
                <w:rFonts w:ascii="Gill Sans MT" w:hAnsi="Gill Sans MT"/>
                <w:bCs/>
              </w:rPr>
              <w:t>The State has violated the international standards with regard to forced evictions as was witnessed in July, 20</w:t>
            </w:r>
            <w:r>
              <w:rPr>
                <w:rFonts w:ascii="Gill Sans MT" w:hAnsi="Gill Sans MT"/>
                <w:bCs/>
              </w:rPr>
              <w:t>18 during the evictions of residents in Kibera slums to create room for the construction of the Kibera Link Road</w:t>
            </w:r>
          </w:p>
        </w:tc>
        <w:tc>
          <w:tcPr>
            <w:tcW w:w="1318" w:type="pct"/>
          </w:tcPr>
          <w:p w14:paraId="75B73CBF" w14:textId="77777777" w:rsidR="00E258FD" w:rsidRDefault="001372B9">
            <w:pPr>
              <w:pStyle w:val="ListParagraph"/>
              <w:numPr>
                <w:ilvl w:val="0"/>
                <w:numId w:val="23"/>
              </w:numPr>
              <w:spacing w:before="0" w:beforeAutospacing="0" w:after="0" w:line="276" w:lineRule="auto"/>
              <w:rPr>
                <w:rFonts w:ascii="Gill Sans MT" w:hAnsi="Gill Sans MT"/>
                <w:bCs/>
              </w:rPr>
            </w:pPr>
            <w:r>
              <w:rPr>
                <w:rFonts w:ascii="Gill Sans MT" w:hAnsi="Gill Sans MT"/>
                <w:bCs/>
              </w:rPr>
              <w:lastRenderedPageBreak/>
              <w:t>Resettlement and Forced Eviction Bill compliant with international standards should be enacted.</w:t>
            </w:r>
          </w:p>
        </w:tc>
      </w:tr>
    </w:tbl>
    <w:p w14:paraId="1B013FE7" w14:textId="77777777" w:rsidR="00E258FD" w:rsidRDefault="00E258FD">
      <w:pPr>
        <w:spacing w:before="0" w:beforeAutospacing="0" w:after="0" w:line="360" w:lineRule="auto"/>
        <w:rPr>
          <w:rFonts w:ascii="Gill Sans MT" w:hAnsi="Gill Sans MT"/>
          <w:bCs/>
          <w:sz w:val="24"/>
          <w:szCs w:val="24"/>
        </w:rPr>
        <w:sectPr w:rsidR="00E258FD">
          <w:pgSz w:w="15840" w:h="12240" w:orient="landscape"/>
          <w:pgMar w:top="1440" w:right="1267" w:bottom="1440" w:left="1440" w:header="720" w:footer="720" w:gutter="0"/>
          <w:cols w:space="720"/>
          <w:docGrid w:linePitch="360"/>
        </w:sectPr>
      </w:pPr>
    </w:p>
    <w:p w14:paraId="19FD4C73"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43" w:name="_Toc106369918"/>
      <w:r>
        <w:rPr>
          <w:rStyle w:val="BookTitle"/>
          <w:b/>
          <w:bCs w:val="0"/>
          <w:smallCaps w:val="0"/>
          <w:color w:val="0070C0"/>
          <w:spacing w:val="0"/>
          <w:sz w:val="28"/>
        </w:rPr>
        <w:lastRenderedPageBreak/>
        <w:t>CHAPTER F</w:t>
      </w:r>
      <w:bookmarkEnd w:id="43"/>
      <w:r>
        <w:rPr>
          <w:rStyle w:val="BookTitle"/>
          <w:b/>
          <w:bCs w:val="0"/>
          <w:smallCaps w:val="0"/>
          <w:color w:val="0070C0"/>
          <w:spacing w:val="0"/>
          <w:sz w:val="28"/>
        </w:rPr>
        <w:t>IVE</w:t>
      </w:r>
    </w:p>
    <w:p w14:paraId="256A8EDA"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44" w:name="_Toc106369919"/>
      <w:r>
        <w:rPr>
          <w:rStyle w:val="BookTitle"/>
          <w:b/>
          <w:bCs w:val="0"/>
          <w:smallCaps w:val="0"/>
          <w:color w:val="0070C0"/>
          <w:spacing w:val="0"/>
          <w:sz w:val="28"/>
        </w:rPr>
        <w:t xml:space="preserve">CONCLUSION &amp; </w:t>
      </w:r>
      <w:r>
        <w:rPr>
          <w:rStyle w:val="BookTitle"/>
          <w:b/>
          <w:bCs w:val="0"/>
          <w:smallCaps w:val="0"/>
          <w:color w:val="0070C0"/>
          <w:spacing w:val="0"/>
          <w:sz w:val="28"/>
        </w:rPr>
        <w:t>RECOMMENDATIONS</w:t>
      </w:r>
      <w:bookmarkEnd w:id="44"/>
    </w:p>
    <w:p w14:paraId="03F70815" w14:textId="77777777" w:rsidR="00E258FD" w:rsidRDefault="00E258FD">
      <w:pPr>
        <w:pStyle w:val="ListParagraph"/>
        <w:numPr>
          <w:ilvl w:val="255"/>
          <w:numId w:val="0"/>
        </w:numPr>
        <w:autoSpaceDE w:val="0"/>
        <w:autoSpaceDN w:val="0"/>
        <w:adjustRightInd w:val="0"/>
        <w:spacing w:before="0" w:beforeAutospacing="0" w:after="0" w:line="360" w:lineRule="auto"/>
        <w:jc w:val="both"/>
        <w:rPr>
          <w:rFonts w:ascii="Gill Sans MT" w:hAnsi="Gill Sans MT"/>
          <w:bCs/>
          <w:sz w:val="24"/>
          <w:szCs w:val="24"/>
        </w:rPr>
      </w:pPr>
    </w:p>
    <w:p w14:paraId="36FDBAA9" w14:textId="77777777" w:rsidR="00E258FD" w:rsidRDefault="001372B9">
      <w:pPr>
        <w:pStyle w:val="Heading2"/>
        <w:spacing w:before="0" w:beforeAutospacing="0" w:line="360" w:lineRule="auto"/>
        <w:rPr>
          <w:rFonts w:ascii="Gill Sans MT" w:hAnsi="Gill Sans MT"/>
          <w:color w:val="0070C0"/>
        </w:rPr>
      </w:pPr>
      <w:bookmarkStart w:id="45" w:name="_Toc106369920"/>
      <w:r>
        <w:rPr>
          <w:rFonts w:ascii="Gill Sans MT" w:hAnsi="Gill Sans MT"/>
          <w:color w:val="0070C0"/>
        </w:rPr>
        <w:t>4.1 Making the Case for Public Participation in Slum Upgrading</w:t>
      </w:r>
      <w:bookmarkEnd w:id="45"/>
    </w:p>
    <w:p w14:paraId="3EEEC59A"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91F8779"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In its basic form, citizen participation is defined as enabling citizens with the opportunity to exercise influence in planning and design, and decision-making, i.e. it permit</w:t>
      </w:r>
      <w:r>
        <w:rPr>
          <w:rFonts w:ascii="Gill Sans MT" w:hAnsi="Gill Sans MT"/>
          <w:bCs/>
          <w:sz w:val="24"/>
          <w:szCs w:val="24"/>
        </w:rPr>
        <w:t>s people who have previously been excluded from any planning processes to take part in discussions about future developments related urban development/renewal (Moser, 2010). The term citizen participation arose when top-down urban renewal schemes post Worl</w:t>
      </w:r>
      <w:r>
        <w:rPr>
          <w:rFonts w:ascii="Gill Sans MT" w:hAnsi="Gill Sans MT"/>
          <w:bCs/>
          <w:sz w:val="24"/>
          <w:szCs w:val="24"/>
        </w:rPr>
        <w:t>d War Two proved to be unsuccessful in creating social improvement. The process of participation started off with western democracies providing citizens with a seat at the table during planning processes (</w:t>
      </w:r>
      <w:r>
        <w:rPr>
          <w:rFonts w:ascii="Gill Sans MT" w:hAnsi="Gill Sans MT"/>
          <w:sz w:val="24"/>
          <w:szCs w:val="24"/>
        </w:rPr>
        <w:t>Watson, 2009</w:t>
      </w:r>
      <w:r>
        <w:rPr>
          <w:rFonts w:ascii="Gill Sans MT" w:hAnsi="Gill Sans MT"/>
          <w:bCs/>
          <w:sz w:val="24"/>
          <w:szCs w:val="24"/>
        </w:rPr>
        <w:t xml:space="preserve">). </w:t>
      </w:r>
      <w:r>
        <w:rPr>
          <w:rFonts w:ascii="Gill Sans MT" w:hAnsi="Gill Sans MT"/>
          <w:sz w:val="24"/>
          <w:szCs w:val="24"/>
        </w:rPr>
        <w:t xml:space="preserve">Swapan (2016) </w:t>
      </w:r>
      <w:r>
        <w:rPr>
          <w:rFonts w:ascii="Gill Sans MT" w:hAnsi="Gill Sans MT"/>
          <w:bCs/>
          <w:sz w:val="24"/>
          <w:szCs w:val="24"/>
        </w:rPr>
        <w:t>attests that civic eng</w:t>
      </w:r>
      <w:r>
        <w:rPr>
          <w:rFonts w:ascii="Gill Sans MT" w:hAnsi="Gill Sans MT"/>
          <w:bCs/>
          <w:sz w:val="24"/>
          <w:szCs w:val="24"/>
        </w:rPr>
        <w:t xml:space="preserve">agement within planning began to increase after policies were implemented in the United States in the 60’s and 70’s, which were intended to foster community participation in neighbourhood planning. Citizen participation therefore sprung up in a climate of </w:t>
      </w:r>
      <w:r>
        <w:rPr>
          <w:rFonts w:ascii="Gill Sans MT" w:hAnsi="Gill Sans MT"/>
          <w:bCs/>
          <w:sz w:val="24"/>
          <w:szCs w:val="24"/>
        </w:rPr>
        <w:t>rising participatory democracy and bureaucratic transparency (</w:t>
      </w:r>
      <w:r>
        <w:rPr>
          <w:rFonts w:ascii="Gill Sans MT" w:hAnsi="Gill Sans MT"/>
          <w:sz w:val="24"/>
          <w:szCs w:val="24"/>
        </w:rPr>
        <w:t>Swapan, 2016</w:t>
      </w:r>
      <w:r>
        <w:rPr>
          <w:rFonts w:ascii="Gill Sans MT" w:hAnsi="Gill Sans MT"/>
          <w:bCs/>
          <w:sz w:val="24"/>
          <w:szCs w:val="24"/>
        </w:rPr>
        <w:t xml:space="preserve">). </w:t>
      </w:r>
    </w:p>
    <w:p w14:paraId="799D27B0"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1D087902"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level in which participation can take place varies in different degrees. </w:t>
      </w:r>
      <w:r>
        <w:rPr>
          <w:rFonts w:ascii="Gill Sans MT" w:hAnsi="Gill Sans MT"/>
          <w:sz w:val="24"/>
          <w:szCs w:val="24"/>
        </w:rPr>
        <w:t>Watson (2009</w:t>
      </w:r>
      <w:r>
        <w:rPr>
          <w:rFonts w:ascii="Gill Sans MT" w:hAnsi="Gill Sans MT"/>
          <w:bCs/>
          <w:sz w:val="24"/>
          <w:szCs w:val="24"/>
        </w:rPr>
        <w:t>) states that; citizen participation is an issue about power and empowerment. Moser (201</w:t>
      </w:r>
      <w:r>
        <w:rPr>
          <w:rFonts w:ascii="Gill Sans MT" w:hAnsi="Gill Sans MT"/>
          <w:bCs/>
          <w:sz w:val="24"/>
          <w:szCs w:val="24"/>
        </w:rPr>
        <w:t>0) wrote that participation is both an end, and a means. It’s an end in the sense that it gives people a voice, which is a necessary and empowering step since it will affect their lives in a profound way, and should have the right to participate in the var</w:t>
      </w:r>
      <w:r>
        <w:rPr>
          <w:rFonts w:ascii="Gill Sans MT" w:hAnsi="Gill Sans MT"/>
          <w:bCs/>
          <w:sz w:val="24"/>
          <w:szCs w:val="24"/>
        </w:rPr>
        <w:t>ious stages of the project (Moser, 2010). Participation becomes a means when it is used to improve projects. When citizens, especially those who benefit from projects, participate and share their knowledge and skills, projects outcomes will be enhanced (Wa</w:t>
      </w:r>
      <w:r>
        <w:rPr>
          <w:rFonts w:ascii="Gill Sans MT" w:hAnsi="Gill Sans MT"/>
          <w:bCs/>
          <w:sz w:val="24"/>
          <w:szCs w:val="24"/>
        </w:rPr>
        <w:t>tson, 2014).</w:t>
      </w:r>
    </w:p>
    <w:p w14:paraId="6917151F"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5922678"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Arnstein (1969) proposed the ‘ladder of participation’ which is probably the best-known attempt to categorize different levels of citizen involvement in urban development projects. The ladder consists of 8 levels, classified in 3 ranks, Non- </w:t>
      </w:r>
      <w:r>
        <w:rPr>
          <w:rFonts w:ascii="Gill Sans MT" w:hAnsi="Gill Sans MT"/>
          <w:bCs/>
          <w:sz w:val="24"/>
          <w:szCs w:val="24"/>
        </w:rPr>
        <w:t xml:space="preserve">participation, degrees of tokenism, and degrees of citizen power. The ladder of citizens’ participation in planning has often been seen as a useful guide for determining to what degree citizens are engaged in the planning process however it </w:t>
      </w:r>
      <w:r>
        <w:rPr>
          <w:rFonts w:ascii="Gill Sans MT" w:hAnsi="Gill Sans MT"/>
          <w:bCs/>
          <w:sz w:val="24"/>
          <w:szCs w:val="24"/>
        </w:rPr>
        <w:lastRenderedPageBreak/>
        <w:t>lacked universa</w:t>
      </w:r>
      <w:r>
        <w:rPr>
          <w:rFonts w:ascii="Gill Sans MT" w:hAnsi="Gill Sans MT"/>
          <w:bCs/>
          <w:sz w:val="24"/>
          <w:szCs w:val="24"/>
        </w:rPr>
        <w:t>lity and Arnstein herself admitted that meaningful participation is influenced by social, political, and psychological factors (Swapan, 2016, p.71).</w:t>
      </w:r>
    </w:p>
    <w:p w14:paraId="42DAAC20" w14:textId="77777777" w:rsidR="00E258FD" w:rsidRDefault="001372B9">
      <w:pPr>
        <w:pStyle w:val="Caption"/>
        <w:spacing w:after="0"/>
        <w:jc w:val="center"/>
        <w:rPr>
          <w:rFonts w:ascii="Gill Sans MT" w:hAnsi="Gill Sans MT"/>
          <w:b w:val="0"/>
          <w:bCs w:val="0"/>
          <w:color w:val="auto"/>
          <w:sz w:val="24"/>
          <w:szCs w:val="24"/>
        </w:rPr>
      </w:pPr>
      <w:bookmarkStart w:id="46" w:name="_Toc106370801"/>
      <w:r>
        <w:rPr>
          <w:rFonts w:ascii="Gill Sans MT" w:hAnsi="Gill Sans MT"/>
          <w:b w:val="0"/>
          <w:color w:val="auto"/>
          <w:sz w:val="24"/>
          <w:szCs w:val="24"/>
        </w:rPr>
        <w:t xml:space="preserve">Figure </w:t>
      </w:r>
      <w:r>
        <w:rPr>
          <w:rFonts w:ascii="Gill Sans MT" w:hAnsi="Gill Sans MT"/>
          <w:b w:val="0"/>
          <w:color w:val="auto"/>
          <w:sz w:val="24"/>
          <w:szCs w:val="24"/>
        </w:rPr>
        <w:fldChar w:fldCharType="begin"/>
      </w:r>
      <w:r>
        <w:rPr>
          <w:rFonts w:ascii="Gill Sans MT" w:hAnsi="Gill Sans MT"/>
          <w:b w:val="0"/>
          <w:color w:val="auto"/>
          <w:sz w:val="24"/>
          <w:szCs w:val="24"/>
        </w:rPr>
        <w:instrText xml:space="preserve"> SEQ Figure \* ARABIC </w:instrText>
      </w:r>
      <w:r>
        <w:rPr>
          <w:rFonts w:ascii="Gill Sans MT" w:hAnsi="Gill Sans MT"/>
          <w:b w:val="0"/>
          <w:color w:val="auto"/>
          <w:sz w:val="24"/>
          <w:szCs w:val="24"/>
        </w:rPr>
        <w:fldChar w:fldCharType="separate"/>
      </w:r>
      <w:r>
        <w:rPr>
          <w:rFonts w:ascii="Gill Sans MT" w:hAnsi="Gill Sans MT"/>
          <w:b w:val="0"/>
          <w:noProof/>
          <w:color w:val="auto"/>
          <w:sz w:val="24"/>
          <w:szCs w:val="24"/>
        </w:rPr>
        <w:t>2</w:t>
      </w:r>
      <w:r>
        <w:rPr>
          <w:rFonts w:ascii="Gill Sans MT" w:hAnsi="Gill Sans MT"/>
          <w:b w:val="0"/>
          <w:color w:val="auto"/>
          <w:sz w:val="24"/>
          <w:szCs w:val="24"/>
        </w:rPr>
        <w:fldChar w:fldCharType="end"/>
      </w:r>
      <w:r>
        <w:rPr>
          <w:rFonts w:ascii="Gill Sans MT" w:hAnsi="Gill Sans MT"/>
          <w:b w:val="0"/>
          <w:bCs w:val="0"/>
          <w:color w:val="auto"/>
          <w:sz w:val="24"/>
          <w:szCs w:val="24"/>
        </w:rPr>
        <w:t>: Arnstein's Participation Ladder</w:t>
      </w:r>
      <w:bookmarkEnd w:id="46"/>
    </w:p>
    <w:p w14:paraId="5A0A1BFE" w14:textId="77777777" w:rsidR="00E258FD" w:rsidRDefault="001372B9">
      <w:pPr>
        <w:keepNext/>
        <w:autoSpaceDE w:val="0"/>
        <w:autoSpaceDN w:val="0"/>
        <w:adjustRightInd w:val="0"/>
        <w:spacing w:before="0" w:beforeAutospacing="0" w:after="0" w:line="360" w:lineRule="auto"/>
        <w:jc w:val="center"/>
      </w:pPr>
      <w:r>
        <w:rPr>
          <w:rFonts w:ascii="Gill Sans MT" w:hAnsi="Gill Sans MT"/>
          <w:strike/>
          <w:noProof/>
          <w:sz w:val="20"/>
        </w:rPr>
        <w:drawing>
          <wp:inline distT="0" distB="0" distL="0" distR="0" wp14:anchorId="4001C84C" wp14:editId="1F6DDBC9">
            <wp:extent cx="2851150" cy="2876550"/>
            <wp:effectExtent l="0" t="0" r="0" b="0"/>
            <wp:docPr id="102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rcRect/>
                    <a:stretch/>
                  </pic:blipFill>
                  <pic:spPr>
                    <a:xfrm>
                      <a:off x="0" y="0"/>
                      <a:ext cx="2851150" cy="2876550"/>
                    </a:xfrm>
                    <a:prstGeom prst="rect">
                      <a:avLst/>
                    </a:prstGeom>
                  </pic:spPr>
                </pic:pic>
              </a:graphicData>
            </a:graphic>
          </wp:inline>
        </w:drawing>
      </w:r>
    </w:p>
    <w:p w14:paraId="50E0CD58" w14:textId="77777777" w:rsidR="00E258FD" w:rsidRDefault="001372B9">
      <w:pPr>
        <w:autoSpaceDE w:val="0"/>
        <w:autoSpaceDN w:val="0"/>
        <w:adjustRightInd w:val="0"/>
        <w:spacing w:before="0" w:beforeAutospacing="0" w:after="0" w:line="360" w:lineRule="auto"/>
        <w:jc w:val="center"/>
        <w:rPr>
          <w:rFonts w:ascii="Gill Sans MT" w:hAnsi="Gill Sans MT"/>
          <w:bCs/>
          <w:sz w:val="24"/>
          <w:szCs w:val="24"/>
        </w:rPr>
      </w:pPr>
      <w:r>
        <w:rPr>
          <w:rFonts w:ascii="Gill Sans MT" w:hAnsi="Gill Sans MT"/>
          <w:bCs/>
          <w:sz w:val="24"/>
          <w:szCs w:val="24"/>
        </w:rPr>
        <w:t>Source: Arnstein (1969, p. 217)</w:t>
      </w:r>
    </w:p>
    <w:p w14:paraId="5B327C4A" w14:textId="77777777" w:rsidR="00E258FD" w:rsidRDefault="00E258FD">
      <w:pPr>
        <w:autoSpaceDE w:val="0"/>
        <w:autoSpaceDN w:val="0"/>
        <w:adjustRightInd w:val="0"/>
        <w:spacing w:before="0" w:beforeAutospacing="0" w:after="0" w:line="360" w:lineRule="auto"/>
        <w:jc w:val="center"/>
        <w:rPr>
          <w:rFonts w:ascii="Gill Sans MT" w:hAnsi="Gill Sans MT"/>
          <w:bCs/>
          <w:sz w:val="24"/>
          <w:szCs w:val="24"/>
        </w:rPr>
      </w:pPr>
    </w:p>
    <w:p w14:paraId="3AD6FC20"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Choguill (1996) criticized Arnstein’s participatory model, and stated that using the model in developing countries leads to debatable results. Choguill attests that many developing countries experience rapid growth, leading to a situation whereby public an</w:t>
      </w:r>
      <w:r>
        <w:rPr>
          <w:rFonts w:ascii="Gill Sans MT" w:hAnsi="Gill Sans MT"/>
          <w:bCs/>
          <w:sz w:val="24"/>
          <w:szCs w:val="24"/>
        </w:rPr>
        <w:t>d private sectors are unable to provide basic services/ infrastructure and housing to the entire population. Whereas Aronstein’s ladder took on participation from a citizen’s activist perspective (Bishop &amp; Davis, 2002), Choqguill made a modified version of</w:t>
      </w:r>
      <w:r>
        <w:rPr>
          <w:rFonts w:ascii="Gill Sans MT" w:hAnsi="Gill Sans MT"/>
          <w:bCs/>
          <w:sz w:val="24"/>
          <w:szCs w:val="24"/>
        </w:rPr>
        <w:t xml:space="preserve"> the ladder stipulating a government’s willingness in including participation within community development projects (Swapan, 2016).</w:t>
      </w:r>
    </w:p>
    <w:p w14:paraId="649317E9"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A094000" w14:textId="77777777" w:rsidR="00E258FD" w:rsidRDefault="001372B9">
      <w:pPr>
        <w:pStyle w:val="Caption"/>
        <w:spacing w:after="0" w:line="360" w:lineRule="auto"/>
        <w:jc w:val="center"/>
        <w:rPr>
          <w:rFonts w:ascii="Gill Sans MT" w:hAnsi="Gill Sans MT"/>
          <w:bCs w:val="0"/>
          <w:sz w:val="24"/>
          <w:szCs w:val="24"/>
        </w:rPr>
      </w:pPr>
      <w:bookmarkStart w:id="47" w:name="_Toc106370802"/>
      <w:r>
        <w:rPr>
          <w:rFonts w:ascii="Gill Sans MT" w:hAnsi="Gill Sans MT"/>
          <w:b w:val="0"/>
          <w:color w:val="auto"/>
          <w:sz w:val="24"/>
          <w:szCs w:val="24"/>
        </w:rPr>
        <w:lastRenderedPageBreak/>
        <w:t xml:space="preserve">Figure </w:t>
      </w:r>
      <w:r>
        <w:rPr>
          <w:rFonts w:ascii="Gill Sans MT" w:hAnsi="Gill Sans MT"/>
          <w:b w:val="0"/>
          <w:color w:val="auto"/>
          <w:sz w:val="24"/>
          <w:szCs w:val="24"/>
        </w:rPr>
        <w:fldChar w:fldCharType="begin"/>
      </w:r>
      <w:r>
        <w:rPr>
          <w:rFonts w:ascii="Gill Sans MT" w:hAnsi="Gill Sans MT"/>
          <w:b w:val="0"/>
          <w:color w:val="auto"/>
          <w:sz w:val="24"/>
          <w:szCs w:val="24"/>
        </w:rPr>
        <w:instrText xml:space="preserve"> SEQ Figure \* ARABIC </w:instrText>
      </w:r>
      <w:r>
        <w:rPr>
          <w:rFonts w:ascii="Gill Sans MT" w:hAnsi="Gill Sans MT"/>
          <w:b w:val="0"/>
          <w:color w:val="auto"/>
          <w:sz w:val="24"/>
          <w:szCs w:val="24"/>
        </w:rPr>
        <w:fldChar w:fldCharType="separate"/>
      </w:r>
      <w:r>
        <w:rPr>
          <w:rFonts w:ascii="Gill Sans MT" w:hAnsi="Gill Sans MT"/>
          <w:b w:val="0"/>
          <w:noProof/>
          <w:color w:val="auto"/>
          <w:sz w:val="24"/>
          <w:szCs w:val="24"/>
        </w:rPr>
        <w:t>3</w:t>
      </w:r>
      <w:r>
        <w:rPr>
          <w:rFonts w:ascii="Gill Sans MT" w:hAnsi="Gill Sans MT"/>
          <w:b w:val="0"/>
          <w:color w:val="auto"/>
          <w:sz w:val="24"/>
          <w:szCs w:val="24"/>
        </w:rPr>
        <w:fldChar w:fldCharType="end"/>
      </w:r>
      <w:r>
        <w:rPr>
          <w:rFonts w:ascii="Gill Sans MT" w:hAnsi="Gill Sans MT"/>
          <w:b w:val="0"/>
          <w:bCs w:val="0"/>
          <w:color w:val="auto"/>
          <w:sz w:val="24"/>
          <w:szCs w:val="24"/>
        </w:rPr>
        <w:t>: Choquill's Participation Ladder</w:t>
      </w:r>
      <w:r>
        <w:rPr>
          <w:rFonts w:ascii="Gill Sans MT" w:hAnsi="Gill Sans MT"/>
          <w:strike/>
          <w:noProof/>
          <w:sz w:val="20"/>
        </w:rPr>
        <w:drawing>
          <wp:inline distT="0" distB="0" distL="0" distR="0" wp14:anchorId="54956F22" wp14:editId="03D53F46">
            <wp:extent cx="5172075" cy="2009775"/>
            <wp:effectExtent l="0" t="0" r="0" b="0"/>
            <wp:docPr id="1029" name="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6.jpeg"/>
                    <pic:cNvPicPr/>
                  </pic:nvPicPr>
                  <pic:blipFill>
                    <a:blip r:embed="rId13" cstate="print"/>
                    <a:srcRect/>
                    <a:stretch/>
                  </pic:blipFill>
                  <pic:spPr>
                    <a:xfrm>
                      <a:off x="0" y="0"/>
                      <a:ext cx="5172075" cy="2009775"/>
                    </a:xfrm>
                    <a:prstGeom prst="rect">
                      <a:avLst/>
                    </a:prstGeom>
                  </pic:spPr>
                </pic:pic>
              </a:graphicData>
            </a:graphic>
          </wp:inline>
        </w:drawing>
      </w:r>
      <w:bookmarkEnd w:id="47"/>
    </w:p>
    <w:p w14:paraId="4FE93197" w14:textId="77777777" w:rsidR="00E258FD" w:rsidRDefault="001372B9">
      <w:pPr>
        <w:autoSpaceDE w:val="0"/>
        <w:autoSpaceDN w:val="0"/>
        <w:adjustRightInd w:val="0"/>
        <w:spacing w:before="0" w:beforeAutospacing="0" w:after="0" w:line="360" w:lineRule="auto"/>
        <w:jc w:val="center"/>
        <w:rPr>
          <w:rFonts w:ascii="Gill Sans MT" w:hAnsi="Gill Sans MT"/>
          <w:bCs/>
          <w:sz w:val="24"/>
          <w:szCs w:val="24"/>
        </w:rPr>
      </w:pPr>
      <w:r>
        <w:rPr>
          <w:rFonts w:ascii="Gill Sans MT" w:hAnsi="Gill Sans MT"/>
          <w:bCs/>
          <w:sz w:val="24"/>
          <w:szCs w:val="24"/>
        </w:rPr>
        <w:t>Source: Choguill, 1996, p. 442</w:t>
      </w:r>
    </w:p>
    <w:p w14:paraId="402055C8"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387B106"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From this theoretical p</w:t>
      </w:r>
      <w:r>
        <w:rPr>
          <w:rFonts w:ascii="Gill Sans MT" w:hAnsi="Gill Sans MT"/>
          <w:bCs/>
          <w:sz w:val="24"/>
          <w:szCs w:val="24"/>
        </w:rPr>
        <w:t>edestal, studies conducted on public participation in urban planning hold that the use of participatory methods (if done correctly) produce better project results and enhance a sense of ownership. In our context, there is a general lack of coordination bet</w:t>
      </w:r>
      <w:r>
        <w:rPr>
          <w:rFonts w:ascii="Gill Sans MT" w:hAnsi="Gill Sans MT"/>
          <w:bCs/>
          <w:sz w:val="24"/>
          <w:szCs w:val="24"/>
        </w:rPr>
        <w:t xml:space="preserve">ween tenants and the Nairobi City County (NCC) about the project and its intentions. This hampers the search for amicable solutions. The community itself is also disjointed. For instance, </w:t>
      </w:r>
      <w:r>
        <w:rPr>
          <w:rFonts w:ascii="Gill Sans MT" w:hAnsi="Gill Sans MT"/>
          <w:sz w:val="24"/>
          <w:szCs w:val="24"/>
        </w:rPr>
        <w:t>Swapan (2016</w:t>
      </w:r>
      <w:r>
        <w:rPr>
          <w:rFonts w:ascii="Gill Sans MT" w:hAnsi="Gill Sans MT"/>
          <w:bCs/>
          <w:sz w:val="24"/>
          <w:szCs w:val="24"/>
        </w:rPr>
        <w:t xml:space="preserve">) in his article entitled, </w:t>
      </w:r>
      <w:r>
        <w:rPr>
          <w:rFonts w:ascii="Gill Sans MT" w:hAnsi="Gill Sans MT"/>
          <w:bCs/>
          <w:i/>
          <w:sz w:val="24"/>
          <w:szCs w:val="24"/>
        </w:rPr>
        <w:t>Who participates and who does</w:t>
      </w:r>
      <w:r>
        <w:rPr>
          <w:rFonts w:ascii="Gill Sans MT" w:hAnsi="Gill Sans MT"/>
          <w:bCs/>
          <w:i/>
          <w:sz w:val="24"/>
          <w:szCs w:val="24"/>
        </w:rPr>
        <w:t>n't? Adapting community participation model for developing countries</w:t>
      </w:r>
      <w:r>
        <w:rPr>
          <w:rFonts w:ascii="Gill Sans MT" w:hAnsi="Gill Sans MT"/>
          <w:bCs/>
          <w:sz w:val="24"/>
          <w:szCs w:val="24"/>
        </w:rPr>
        <w:t xml:space="preserve"> indicates that in this regard, some tenants are accepting of the project, or at least the idea of a renewal plan for the estate, whilst others have voiced the estates should remain the wa</w:t>
      </w:r>
      <w:r>
        <w:rPr>
          <w:rFonts w:ascii="Gill Sans MT" w:hAnsi="Gill Sans MT"/>
          <w:bCs/>
          <w:sz w:val="24"/>
          <w:szCs w:val="24"/>
        </w:rPr>
        <w:t>y that they are</w:t>
      </w:r>
      <w:r>
        <w:rPr>
          <w:rStyle w:val="FootnoteReference"/>
          <w:rFonts w:ascii="Gill Sans MT" w:hAnsi="Gill Sans MT"/>
          <w:bCs/>
          <w:sz w:val="24"/>
          <w:szCs w:val="24"/>
        </w:rPr>
        <w:footnoteReference w:id="37"/>
      </w:r>
      <w:r>
        <w:rPr>
          <w:rFonts w:ascii="Gill Sans MT" w:hAnsi="Gill Sans MT"/>
          <w:bCs/>
          <w:sz w:val="24"/>
          <w:szCs w:val="24"/>
        </w:rPr>
        <w:t xml:space="preserve">. There was also a conflict in the prioritization of development. </w:t>
      </w:r>
    </w:p>
    <w:p w14:paraId="779F0513"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A929833"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In summary, there have been conflicting statements made by the NCC and citizens involved in participation on how the process is going. With the NCC firmly asserting they ha</w:t>
      </w:r>
      <w:r>
        <w:rPr>
          <w:rFonts w:ascii="Gill Sans MT" w:hAnsi="Gill Sans MT"/>
          <w:bCs/>
          <w:sz w:val="24"/>
          <w:szCs w:val="24"/>
        </w:rPr>
        <w:t>ve involved the public through all stages of the project, whilst most residents have expressed concern on their level of involvement as seen in the media articles and the interviews. The reasons of concern expressed by citizens indicate a high level of dis</w:t>
      </w:r>
      <w:r>
        <w:rPr>
          <w:rFonts w:ascii="Gill Sans MT" w:hAnsi="Gill Sans MT"/>
          <w:bCs/>
          <w:sz w:val="24"/>
          <w:szCs w:val="24"/>
        </w:rPr>
        <w:t>trust amongst themselves but also towards the NCC, which can be attributed to past injustices to citizens during various housing schemes.</w:t>
      </w:r>
    </w:p>
    <w:p w14:paraId="54E59E63" w14:textId="77777777" w:rsidR="00E258FD" w:rsidRDefault="00E258FD">
      <w:pPr>
        <w:autoSpaceDE w:val="0"/>
        <w:autoSpaceDN w:val="0"/>
        <w:adjustRightInd w:val="0"/>
        <w:spacing w:before="0" w:beforeAutospacing="0" w:after="0" w:line="360" w:lineRule="auto"/>
        <w:rPr>
          <w:rFonts w:ascii="Gill Sans MT" w:hAnsi="Gill Sans MT"/>
          <w:bCs/>
          <w:sz w:val="24"/>
          <w:szCs w:val="24"/>
        </w:rPr>
      </w:pPr>
    </w:p>
    <w:p w14:paraId="07FA2F35" w14:textId="77777777" w:rsidR="00E258FD" w:rsidRDefault="001372B9">
      <w:pPr>
        <w:pStyle w:val="Heading2"/>
        <w:spacing w:before="0" w:beforeAutospacing="0" w:line="360" w:lineRule="auto"/>
        <w:rPr>
          <w:rFonts w:ascii="Gill Sans MT" w:hAnsi="Gill Sans MT"/>
          <w:color w:val="0070C0"/>
        </w:rPr>
      </w:pPr>
      <w:bookmarkStart w:id="48" w:name="_Toc106369921"/>
      <w:r>
        <w:rPr>
          <w:rFonts w:ascii="Gill Sans MT" w:hAnsi="Gill Sans MT"/>
          <w:color w:val="0070C0"/>
        </w:rPr>
        <w:lastRenderedPageBreak/>
        <w:t>4.2 Appreciating the Enduring Role of Non-State and other Actors</w:t>
      </w:r>
      <w:bookmarkEnd w:id="48"/>
    </w:p>
    <w:p w14:paraId="23F1C5A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0D38FA8E"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Scaling up slum improvement requires </w:t>
      </w:r>
      <w:r>
        <w:rPr>
          <w:rFonts w:ascii="Gill Sans MT" w:hAnsi="Gill Sans MT"/>
          <w:bCs/>
          <w:sz w:val="24"/>
          <w:szCs w:val="24"/>
        </w:rPr>
        <w:t>participatory approaches and involvement of different actors cutting across different fields including technical and financial sectors in the environment. The key non-state actors in such activities include: international organizations, local residents, pr</w:t>
      </w:r>
      <w:r>
        <w:rPr>
          <w:rFonts w:ascii="Gill Sans MT" w:hAnsi="Gill Sans MT"/>
          <w:bCs/>
          <w:sz w:val="24"/>
          <w:szCs w:val="24"/>
        </w:rPr>
        <w:t>ivate investors, NGO’s, the media, civil societies and international developers. The inclusive role of these actors is to enhance an enabling environment for slum upgrading process through provision of secure tenure, utilization of community or local labou</w:t>
      </w:r>
      <w:r>
        <w:rPr>
          <w:rFonts w:ascii="Gill Sans MT" w:hAnsi="Gill Sans MT"/>
          <w:bCs/>
          <w:sz w:val="24"/>
          <w:szCs w:val="24"/>
        </w:rPr>
        <w:t>r to develop small infrastructure works, revising building codes and enabling access to financing resources (</w:t>
      </w:r>
      <w:r>
        <w:rPr>
          <w:rFonts w:ascii="Gill Sans MT" w:hAnsi="Gill Sans MT"/>
          <w:sz w:val="24"/>
          <w:szCs w:val="24"/>
        </w:rPr>
        <w:t>Candiracci &amp; Syrjanen, 2007</w:t>
      </w:r>
      <w:r>
        <w:rPr>
          <w:rFonts w:ascii="Gill Sans MT" w:hAnsi="Gill Sans MT"/>
          <w:bCs/>
          <w:sz w:val="24"/>
          <w:szCs w:val="24"/>
        </w:rPr>
        <w:t>).</w:t>
      </w:r>
    </w:p>
    <w:p w14:paraId="5DF0CD5C"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7A032FF7"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Slum dwellers are the main focus in the improvement of slums as they understand the problems of their neighborhoods </w:t>
      </w:r>
      <w:r>
        <w:rPr>
          <w:rFonts w:ascii="Gill Sans MT" w:hAnsi="Gill Sans MT"/>
          <w:bCs/>
          <w:sz w:val="24"/>
          <w:szCs w:val="24"/>
        </w:rPr>
        <w:t>and relative priority for improvement depending on the challenges they face most. In ensuring effective articulation of their call in the top-down process, the residents organize themselves into CBOs to champion their interests. It is these community based</w:t>
      </w:r>
      <w:r>
        <w:rPr>
          <w:rFonts w:ascii="Gill Sans MT" w:hAnsi="Gill Sans MT"/>
          <w:bCs/>
          <w:sz w:val="24"/>
          <w:szCs w:val="24"/>
        </w:rPr>
        <w:t xml:space="preserve"> organizations that support non-state actors who intervene to midwife the planning and co-production of infrastructure projects and improvements to social, educational, health and livelihood service delivery (</w:t>
      </w:r>
      <w:r>
        <w:rPr>
          <w:rFonts w:ascii="Gill Sans MT" w:hAnsi="Gill Sans MT"/>
          <w:sz w:val="24"/>
          <w:szCs w:val="24"/>
        </w:rPr>
        <w:t>UN-Habitat, 2012</w:t>
      </w:r>
      <w:r>
        <w:rPr>
          <w:rFonts w:ascii="Gill Sans MT" w:hAnsi="Gill Sans MT"/>
          <w:bCs/>
          <w:sz w:val="24"/>
          <w:szCs w:val="24"/>
        </w:rPr>
        <w:t xml:space="preserve">). </w:t>
      </w:r>
    </w:p>
    <w:p w14:paraId="675405FF" w14:textId="77777777" w:rsidR="00E258FD" w:rsidRDefault="001372B9">
      <w:pPr>
        <w:pStyle w:val="Caption"/>
        <w:spacing w:after="0"/>
        <w:jc w:val="center"/>
        <w:rPr>
          <w:rFonts w:ascii="Gill Sans MT" w:hAnsi="Gill Sans MT"/>
          <w:b w:val="0"/>
          <w:bCs w:val="0"/>
          <w:color w:val="auto"/>
          <w:sz w:val="24"/>
          <w:szCs w:val="24"/>
        </w:rPr>
      </w:pPr>
      <w:bookmarkStart w:id="49" w:name="_Toc106370803"/>
      <w:r>
        <w:rPr>
          <w:rFonts w:ascii="Gill Sans MT" w:hAnsi="Gill Sans MT"/>
          <w:b w:val="0"/>
          <w:color w:val="auto"/>
          <w:sz w:val="24"/>
          <w:szCs w:val="24"/>
        </w:rPr>
        <w:t xml:space="preserve">Figure </w:t>
      </w:r>
      <w:r>
        <w:rPr>
          <w:rFonts w:ascii="Gill Sans MT" w:hAnsi="Gill Sans MT"/>
          <w:b w:val="0"/>
          <w:color w:val="auto"/>
          <w:sz w:val="24"/>
          <w:szCs w:val="24"/>
        </w:rPr>
        <w:fldChar w:fldCharType="begin"/>
      </w:r>
      <w:r>
        <w:rPr>
          <w:rFonts w:ascii="Gill Sans MT" w:hAnsi="Gill Sans MT"/>
          <w:b w:val="0"/>
          <w:color w:val="auto"/>
          <w:sz w:val="24"/>
          <w:szCs w:val="24"/>
        </w:rPr>
        <w:instrText xml:space="preserve"> SEQ Figure \* ARABI</w:instrText>
      </w:r>
      <w:r>
        <w:rPr>
          <w:rFonts w:ascii="Gill Sans MT" w:hAnsi="Gill Sans MT"/>
          <w:b w:val="0"/>
          <w:color w:val="auto"/>
          <w:sz w:val="24"/>
          <w:szCs w:val="24"/>
        </w:rPr>
        <w:instrText xml:space="preserve">C </w:instrText>
      </w:r>
      <w:r>
        <w:rPr>
          <w:rFonts w:ascii="Gill Sans MT" w:hAnsi="Gill Sans MT"/>
          <w:b w:val="0"/>
          <w:color w:val="auto"/>
          <w:sz w:val="24"/>
          <w:szCs w:val="24"/>
        </w:rPr>
        <w:fldChar w:fldCharType="separate"/>
      </w:r>
      <w:r>
        <w:rPr>
          <w:rFonts w:ascii="Gill Sans MT" w:hAnsi="Gill Sans MT"/>
          <w:b w:val="0"/>
          <w:noProof/>
          <w:color w:val="auto"/>
          <w:sz w:val="24"/>
          <w:szCs w:val="24"/>
        </w:rPr>
        <w:t>4</w:t>
      </w:r>
      <w:r>
        <w:rPr>
          <w:rFonts w:ascii="Gill Sans MT" w:hAnsi="Gill Sans MT"/>
          <w:b w:val="0"/>
          <w:color w:val="auto"/>
          <w:sz w:val="24"/>
          <w:szCs w:val="24"/>
        </w:rPr>
        <w:fldChar w:fldCharType="end"/>
      </w:r>
      <w:r>
        <w:rPr>
          <w:rFonts w:ascii="Gill Sans MT" w:hAnsi="Gill Sans MT"/>
          <w:b w:val="0"/>
          <w:bCs w:val="0"/>
          <w:color w:val="auto"/>
          <w:sz w:val="24"/>
          <w:szCs w:val="24"/>
        </w:rPr>
        <w:t>: Schematic overview of the role of different actors in slum upgrading initiatives</w:t>
      </w:r>
      <w:bookmarkEnd w:id="49"/>
    </w:p>
    <w:p w14:paraId="1D76FDCD" w14:textId="77777777" w:rsidR="00E258FD" w:rsidRDefault="001372B9">
      <w:pPr>
        <w:keepNext/>
        <w:autoSpaceDE w:val="0"/>
        <w:autoSpaceDN w:val="0"/>
        <w:adjustRightInd w:val="0"/>
        <w:spacing w:before="0" w:beforeAutospacing="0" w:after="0" w:line="360" w:lineRule="auto"/>
        <w:jc w:val="center"/>
      </w:pPr>
      <w:r>
        <w:rPr>
          <w:rFonts w:ascii="Gill Sans MT" w:hAnsi="Gill Sans MT"/>
          <w:bCs/>
          <w:noProof/>
          <w:sz w:val="24"/>
          <w:szCs w:val="24"/>
        </w:rPr>
        <w:drawing>
          <wp:inline distT="0" distB="0" distL="0" distR="0" wp14:anchorId="26E924B1" wp14:editId="59315FFC">
            <wp:extent cx="2216150" cy="2045898"/>
            <wp:effectExtent l="0" t="0" r="0" b="0"/>
            <wp:docPr id="1030" name="Picture 2" descr="D:\Workspace\Patrick Ochieng\Design Work\Finished Designs\Figur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4" cstate="print"/>
                    <a:srcRect/>
                    <a:stretch/>
                  </pic:blipFill>
                  <pic:spPr>
                    <a:xfrm>
                      <a:off x="0" y="0"/>
                      <a:ext cx="2216150" cy="2045898"/>
                    </a:xfrm>
                    <a:prstGeom prst="rect">
                      <a:avLst/>
                    </a:prstGeom>
                    <a:ln>
                      <a:noFill/>
                    </a:ln>
                  </pic:spPr>
                </pic:pic>
              </a:graphicData>
            </a:graphic>
          </wp:inline>
        </w:drawing>
      </w:r>
    </w:p>
    <w:p w14:paraId="78F3661B" w14:textId="77777777" w:rsidR="00E258FD" w:rsidRDefault="001372B9">
      <w:pPr>
        <w:autoSpaceDE w:val="0"/>
        <w:autoSpaceDN w:val="0"/>
        <w:adjustRightInd w:val="0"/>
        <w:spacing w:before="0" w:beforeAutospacing="0" w:after="0" w:line="360" w:lineRule="auto"/>
        <w:jc w:val="center"/>
        <w:rPr>
          <w:rFonts w:ascii="Gill Sans MT" w:hAnsi="Gill Sans MT"/>
          <w:bCs/>
          <w:sz w:val="24"/>
          <w:szCs w:val="24"/>
        </w:rPr>
      </w:pPr>
      <w:r>
        <w:rPr>
          <w:rFonts w:ascii="Gill Sans MT" w:hAnsi="Gill Sans MT"/>
          <w:bCs/>
          <w:sz w:val="24"/>
          <w:szCs w:val="24"/>
        </w:rPr>
        <w:t>Source: (</w:t>
      </w:r>
      <w:r>
        <w:rPr>
          <w:rFonts w:ascii="Gill Sans MT" w:hAnsi="Gill Sans MT"/>
          <w:sz w:val="24"/>
          <w:szCs w:val="24"/>
        </w:rPr>
        <w:t>Obare, 2020</w:t>
      </w:r>
      <w:r>
        <w:rPr>
          <w:rFonts w:ascii="Gill Sans MT" w:hAnsi="Gill Sans MT"/>
          <w:bCs/>
          <w:sz w:val="24"/>
          <w:szCs w:val="24"/>
        </w:rPr>
        <w:t>)</w:t>
      </w:r>
    </w:p>
    <w:p w14:paraId="2CA1025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7E35FB4"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8DB5AA7"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lastRenderedPageBreak/>
        <w:t xml:space="preserve">Further, in the bottom-up improvement process, the slum residents take the front line duty as individuals and families to improve the </w:t>
      </w:r>
      <w:r>
        <w:rPr>
          <w:rFonts w:ascii="Gill Sans MT" w:hAnsi="Gill Sans MT"/>
          <w:bCs/>
          <w:sz w:val="24"/>
          <w:szCs w:val="24"/>
        </w:rPr>
        <w:t>quality of their housing and better their economic situation, as illustrated in the diagram above. The NGO’s and local government also provide them with technical guidance to improve their housing (</w:t>
      </w:r>
      <w:r>
        <w:rPr>
          <w:rFonts w:ascii="Gill Sans MT" w:hAnsi="Gill Sans MT"/>
          <w:sz w:val="24"/>
          <w:szCs w:val="24"/>
        </w:rPr>
        <w:t>World Bank, 2015</w:t>
      </w:r>
      <w:r>
        <w:rPr>
          <w:rFonts w:ascii="Gill Sans MT" w:hAnsi="Gill Sans MT"/>
          <w:bCs/>
          <w:sz w:val="24"/>
          <w:szCs w:val="24"/>
        </w:rPr>
        <w:t>).</w:t>
      </w:r>
    </w:p>
    <w:p w14:paraId="02317F7B"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3FF437BF"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According to </w:t>
      </w:r>
      <w:r>
        <w:rPr>
          <w:rFonts w:ascii="Gill Sans MT" w:hAnsi="Gill Sans MT"/>
          <w:sz w:val="24"/>
          <w:szCs w:val="24"/>
        </w:rPr>
        <w:t>Obare (2020</w:t>
      </w:r>
      <w:r>
        <w:rPr>
          <w:rFonts w:ascii="Gill Sans MT" w:hAnsi="Gill Sans MT"/>
          <w:bCs/>
          <w:sz w:val="24"/>
          <w:szCs w:val="24"/>
        </w:rPr>
        <w:t>), the local g</w:t>
      </w:r>
      <w:r>
        <w:rPr>
          <w:rFonts w:ascii="Gill Sans MT" w:hAnsi="Gill Sans MT"/>
          <w:bCs/>
          <w:sz w:val="24"/>
          <w:szCs w:val="24"/>
        </w:rPr>
        <w:t>overnment is commonly referred to as city government, any independently governed and other substantial entities that exercise authority over given area. It ensures that slum dwellers have access to essential infrastructure and services. This includes: port</w:t>
      </w:r>
      <w:r>
        <w:rPr>
          <w:rFonts w:ascii="Gill Sans MT" w:hAnsi="Gill Sans MT"/>
          <w:bCs/>
          <w:sz w:val="24"/>
          <w:szCs w:val="24"/>
        </w:rPr>
        <w:t>able water, sewerage, street lighting, solid waste collection, public transportation, education, health care and fire services (</w:t>
      </w:r>
      <w:r>
        <w:rPr>
          <w:rFonts w:ascii="Gill Sans MT" w:hAnsi="Gill Sans MT"/>
          <w:sz w:val="24"/>
          <w:szCs w:val="24"/>
        </w:rPr>
        <w:t>UN-Habitat, 2012</w:t>
      </w:r>
      <w:r>
        <w:rPr>
          <w:rFonts w:ascii="Gill Sans MT" w:hAnsi="Gill Sans MT"/>
          <w:bCs/>
          <w:sz w:val="24"/>
          <w:szCs w:val="24"/>
        </w:rPr>
        <w:t xml:space="preserve">). In the top-down slum improvement process, they principally provide infrastructure and basic services. On the </w:t>
      </w:r>
      <w:r>
        <w:rPr>
          <w:rFonts w:ascii="Gill Sans MT" w:hAnsi="Gill Sans MT"/>
          <w:bCs/>
          <w:sz w:val="24"/>
          <w:szCs w:val="24"/>
        </w:rPr>
        <w:t xml:space="preserve">other hand, in the bottom-up process, they play a very useful role in the provision of housing construction, inspection and advices as part of their building permit enforcement responsibility. </w:t>
      </w:r>
    </w:p>
    <w:p w14:paraId="170B7EB9"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2F092BA4"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The local governments are also responsible for project implem</w:t>
      </w:r>
      <w:r>
        <w:rPr>
          <w:rFonts w:ascii="Gill Sans MT" w:hAnsi="Gill Sans MT"/>
          <w:bCs/>
          <w:sz w:val="24"/>
          <w:szCs w:val="24"/>
        </w:rPr>
        <w:t>entation, coordination of civil organization, legal monitoring and evaluation, provision and maintenance of social infrastructure and planning of municipalities, (</w:t>
      </w:r>
      <w:r>
        <w:rPr>
          <w:rFonts w:ascii="Gill Sans MT" w:hAnsi="Gill Sans MT"/>
          <w:sz w:val="24"/>
          <w:szCs w:val="24"/>
        </w:rPr>
        <w:t>UN-Habitat, 2012</w:t>
      </w:r>
      <w:r>
        <w:rPr>
          <w:rFonts w:ascii="Gill Sans MT" w:hAnsi="Gill Sans MT"/>
          <w:bCs/>
          <w:sz w:val="24"/>
          <w:szCs w:val="24"/>
        </w:rPr>
        <w:t>). However, NGO’s play varied roles. Some focus on advocacy for specific poli</w:t>
      </w:r>
      <w:r>
        <w:rPr>
          <w:rFonts w:ascii="Gill Sans MT" w:hAnsi="Gill Sans MT"/>
          <w:bCs/>
          <w:sz w:val="24"/>
          <w:szCs w:val="24"/>
        </w:rPr>
        <w:t>cies or interest of particular groups. Others specialize on charitable works and the provision of services that are unavailable or short in supply. In the top- down level of the slum upgrading, they play the advocacy and service delivery role, advocate for</w:t>
      </w:r>
      <w:r>
        <w:rPr>
          <w:rFonts w:ascii="Gill Sans MT" w:hAnsi="Gill Sans MT"/>
          <w:bCs/>
          <w:sz w:val="24"/>
          <w:szCs w:val="24"/>
        </w:rPr>
        <w:t xml:space="preserve"> the interest of slum dwellers during the upgrading, project planning and promote policies and investment that support slum improvement. In the bottom-up level, specialized NGO’s and micro-finance institution enhance slum improvement by offering micro-cred</w:t>
      </w:r>
      <w:r>
        <w:rPr>
          <w:rFonts w:ascii="Gill Sans MT" w:hAnsi="Gill Sans MT"/>
          <w:bCs/>
          <w:sz w:val="24"/>
          <w:szCs w:val="24"/>
        </w:rPr>
        <w:t>it to slum dwellers for both housing improvement and enterprise development (</w:t>
      </w:r>
      <w:r>
        <w:rPr>
          <w:rFonts w:ascii="Gill Sans MT" w:hAnsi="Gill Sans MT"/>
          <w:sz w:val="24"/>
          <w:szCs w:val="24"/>
        </w:rPr>
        <w:t>World Bank, 2015</w:t>
      </w:r>
      <w:r>
        <w:rPr>
          <w:rFonts w:ascii="Gill Sans MT" w:hAnsi="Gill Sans MT"/>
          <w:bCs/>
          <w:sz w:val="24"/>
          <w:szCs w:val="24"/>
        </w:rPr>
        <w:t>).</w:t>
      </w:r>
    </w:p>
    <w:p w14:paraId="0DDC0168"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4C2EA98E" w14:textId="77777777" w:rsidR="00E258FD" w:rsidRDefault="001372B9">
      <w:pPr>
        <w:autoSpaceDE w:val="0"/>
        <w:autoSpaceDN w:val="0"/>
        <w:adjustRightInd w:val="0"/>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In addition, private investors provide capital necessary to fuel slum improvement process. This is necessary for scaling up the improvement. In the </w:t>
      </w:r>
      <w:r>
        <w:rPr>
          <w:rFonts w:ascii="Gill Sans MT" w:hAnsi="Gill Sans MT"/>
          <w:bCs/>
          <w:sz w:val="24"/>
          <w:szCs w:val="24"/>
        </w:rPr>
        <w:t xml:space="preserve">top-down process, capital is required by the local governments to finance the construction of infrastructure services in the slums. On the  other hand, at the bottom level of slum improvement, NGO’s and micro-finance institutions require capital to expand </w:t>
      </w:r>
      <w:r>
        <w:rPr>
          <w:rFonts w:ascii="Gill Sans MT" w:hAnsi="Gill Sans MT"/>
          <w:bCs/>
          <w:sz w:val="24"/>
          <w:szCs w:val="24"/>
        </w:rPr>
        <w:t>their micro-lending to slum dwellers, though the private sector will weigh risks and returns before investment, (</w:t>
      </w:r>
      <w:r>
        <w:rPr>
          <w:rFonts w:ascii="Gill Sans MT" w:hAnsi="Gill Sans MT"/>
          <w:sz w:val="24"/>
          <w:szCs w:val="24"/>
        </w:rPr>
        <w:t>World Bank, 2015</w:t>
      </w:r>
      <w:r>
        <w:rPr>
          <w:rFonts w:ascii="Gill Sans MT" w:hAnsi="Gill Sans MT"/>
          <w:bCs/>
          <w:sz w:val="24"/>
          <w:szCs w:val="24"/>
        </w:rPr>
        <w:t xml:space="preserve">). The civil society organization </w:t>
      </w:r>
      <w:r>
        <w:rPr>
          <w:rFonts w:ascii="Gill Sans MT" w:hAnsi="Gill Sans MT"/>
          <w:bCs/>
          <w:sz w:val="24"/>
          <w:szCs w:val="24"/>
        </w:rPr>
        <w:lastRenderedPageBreak/>
        <w:t>ensures community involvement, the development partners ensures international exposure, resou</w:t>
      </w:r>
      <w:r>
        <w:rPr>
          <w:rFonts w:ascii="Gill Sans MT" w:hAnsi="Gill Sans MT"/>
          <w:bCs/>
          <w:sz w:val="24"/>
          <w:szCs w:val="24"/>
        </w:rPr>
        <w:t>rce mobilization mechanisms and capacity building. The media is vital for advocacy and dissemination of information, (</w:t>
      </w:r>
      <w:r>
        <w:rPr>
          <w:rFonts w:ascii="Gill Sans MT" w:hAnsi="Gill Sans MT"/>
          <w:sz w:val="24"/>
          <w:szCs w:val="24"/>
        </w:rPr>
        <w:t>UN-Habitat, 2012</w:t>
      </w:r>
      <w:r>
        <w:rPr>
          <w:rFonts w:ascii="Gill Sans MT" w:hAnsi="Gill Sans MT"/>
          <w:bCs/>
          <w:sz w:val="24"/>
          <w:szCs w:val="24"/>
        </w:rPr>
        <w:t>).</w:t>
      </w:r>
    </w:p>
    <w:p w14:paraId="352B7DF6" w14:textId="77777777" w:rsidR="00E258FD" w:rsidRDefault="00E258FD">
      <w:pPr>
        <w:autoSpaceDE w:val="0"/>
        <w:autoSpaceDN w:val="0"/>
        <w:adjustRightInd w:val="0"/>
        <w:spacing w:before="0" w:beforeAutospacing="0" w:after="0" w:line="360" w:lineRule="auto"/>
        <w:jc w:val="both"/>
        <w:rPr>
          <w:rFonts w:ascii="Gill Sans MT" w:hAnsi="Gill Sans MT"/>
          <w:bCs/>
          <w:sz w:val="24"/>
          <w:szCs w:val="24"/>
        </w:rPr>
      </w:pPr>
    </w:p>
    <w:p w14:paraId="608C03E2" w14:textId="77777777" w:rsidR="00E258FD" w:rsidRDefault="001372B9">
      <w:pPr>
        <w:pStyle w:val="Heading2"/>
        <w:spacing w:before="0" w:beforeAutospacing="0" w:line="360" w:lineRule="auto"/>
        <w:rPr>
          <w:rFonts w:ascii="Gill Sans MT" w:hAnsi="Gill Sans MT"/>
          <w:color w:val="0070C0"/>
        </w:rPr>
      </w:pPr>
      <w:bookmarkStart w:id="50" w:name="_Toc106369922"/>
      <w:r>
        <w:rPr>
          <w:rFonts w:ascii="Gill Sans MT" w:hAnsi="Gill Sans MT"/>
          <w:color w:val="0070C0"/>
        </w:rPr>
        <w:t>4.3 Recommendations</w:t>
      </w:r>
      <w:bookmarkEnd w:id="50"/>
    </w:p>
    <w:p w14:paraId="767DD3CF" w14:textId="77777777" w:rsidR="00E258FD" w:rsidRDefault="00E258FD">
      <w:pPr>
        <w:spacing w:before="0" w:beforeAutospacing="0" w:after="0" w:line="360" w:lineRule="auto"/>
        <w:rPr>
          <w:rFonts w:ascii="Gill Sans MT" w:hAnsi="Gill Sans MT"/>
          <w:bCs/>
          <w:sz w:val="24"/>
          <w:szCs w:val="24"/>
        </w:rPr>
      </w:pPr>
    </w:p>
    <w:p w14:paraId="54339CD1" w14:textId="77777777" w:rsidR="00E258FD" w:rsidRDefault="001372B9">
      <w:pPr>
        <w:spacing w:before="0" w:beforeAutospacing="0" w:after="0" w:line="360" w:lineRule="auto"/>
        <w:jc w:val="both"/>
        <w:rPr>
          <w:rFonts w:ascii="Gill Sans MT" w:hAnsi="Gill Sans MT"/>
          <w:bCs/>
          <w:sz w:val="24"/>
          <w:szCs w:val="24"/>
        </w:rPr>
      </w:pPr>
      <w:r>
        <w:rPr>
          <w:rFonts w:ascii="Gill Sans MT" w:hAnsi="Gill Sans MT"/>
          <w:bCs/>
          <w:sz w:val="24"/>
          <w:szCs w:val="24"/>
        </w:rPr>
        <w:t>Implementation of the Kenya Slum Upgrading Programme and the Kenya Informal Settlement Improvemen</w:t>
      </w:r>
      <w:r>
        <w:rPr>
          <w:rFonts w:ascii="Gill Sans MT" w:hAnsi="Gill Sans MT"/>
          <w:bCs/>
          <w:sz w:val="24"/>
          <w:szCs w:val="24"/>
        </w:rPr>
        <w:t>t Programme are a direct response to first the perennial land question that hinders many from the enjoyment of other rights such as the right to adequate housing, water and sanitation. These two programmes were also an effort to prevent forced evictions th</w:t>
      </w:r>
      <w:r>
        <w:rPr>
          <w:rFonts w:ascii="Gill Sans MT" w:hAnsi="Gill Sans MT"/>
          <w:bCs/>
          <w:sz w:val="24"/>
          <w:szCs w:val="24"/>
        </w:rPr>
        <w:t>at was the government’s preferred mode of dealing with informal settlements. Curtailing forced evictions, land related conflicts and promoting the realization of the right to adequate housing will require stronger commitment on the part of the government t</w:t>
      </w:r>
      <w:r>
        <w:rPr>
          <w:rFonts w:ascii="Gill Sans MT" w:hAnsi="Gill Sans MT"/>
          <w:bCs/>
          <w:sz w:val="24"/>
          <w:szCs w:val="24"/>
        </w:rPr>
        <w:t>o guarantee security of tenure and permit a land ownership system that allows investment in housing by communities, the state and private sector players. In this study we have shown how far the slum upgrading projects have reached. Going forward this study</w:t>
      </w:r>
      <w:r>
        <w:rPr>
          <w:rFonts w:ascii="Gill Sans MT" w:hAnsi="Gill Sans MT"/>
          <w:bCs/>
          <w:sz w:val="24"/>
          <w:szCs w:val="24"/>
        </w:rPr>
        <w:t xml:space="preserve"> makes the following recommendations:</w:t>
      </w:r>
    </w:p>
    <w:p w14:paraId="5B13D810" w14:textId="77777777" w:rsidR="00E258FD" w:rsidRDefault="00E258FD">
      <w:pPr>
        <w:spacing w:before="0" w:beforeAutospacing="0" w:after="0" w:line="360" w:lineRule="auto"/>
        <w:jc w:val="both"/>
        <w:rPr>
          <w:rFonts w:ascii="Gill Sans MT" w:hAnsi="Gill Sans MT"/>
          <w:bCs/>
          <w:sz w:val="24"/>
          <w:szCs w:val="24"/>
        </w:rPr>
      </w:pPr>
    </w:p>
    <w:p w14:paraId="2354CB5C" w14:textId="77777777" w:rsidR="00E258FD" w:rsidRDefault="001372B9">
      <w:pPr>
        <w:pStyle w:val="Heading3"/>
        <w:spacing w:before="0" w:beforeAutospacing="0" w:line="360" w:lineRule="auto"/>
        <w:rPr>
          <w:rFonts w:ascii="Gill Sans MT" w:hAnsi="Gill Sans MT"/>
          <w:i/>
          <w:color w:val="538135"/>
          <w:sz w:val="24"/>
          <w:szCs w:val="24"/>
        </w:rPr>
      </w:pPr>
      <w:bookmarkStart w:id="51" w:name="_Toc106369923"/>
      <w:r>
        <w:rPr>
          <w:rFonts w:ascii="Gill Sans MT" w:hAnsi="Gill Sans MT"/>
          <w:i/>
          <w:color w:val="538135"/>
          <w:sz w:val="24"/>
          <w:szCs w:val="24"/>
        </w:rPr>
        <w:t>4.3.1 Recommendations to government</w:t>
      </w:r>
      <w:bookmarkEnd w:id="51"/>
      <w:r>
        <w:rPr>
          <w:rFonts w:ascii="Gill Sans MT" w:hAnsi="Gill Sans MT"/>
          <w:i/>
          <w:color w:val="538135"/>
          <w:sz w:val="24"/>
          <w:szCs w:val="24"/>
        </w:rPr>
        <w:t xml:space="preserve"> </w:t>
      </w:r>
    </w:p>
    <w:p w14:paraId="070A5155"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Government should give effect to the provisions of the NLP that canvasses security of tenure for land rights in informal settlements and the informal activities thereto.</w:t>
      </w:r>
    </w:p>
    <w:p w14:paraId="31DED33E"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The </w:t>
      </w:r>
      <w:r>
        <w:rPr>
          <w:rFonts w:ascii="Gill Sans MT" w:hAnsi="Gill Sans MT"/>
          <w:bCs/>
          <w:sz w:val="24"/>
          <w:szCs w:val="24"/>
        </w:rPr>
        <w:t>Slum Upgrading and Prevention policy should be implemented to activate the inventory of informal settlements for purposes of planning and implementation of holistic upgrading and other improvement programs</w:t>
      </w:r>
    </w:p>
    <w:p w14:paraId="4C5AAF30"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bookmarkStart w:id="52" w:name="_Hlk75438735"/>
      <w:r>
        <w:rPr>
          <w:rFonts w:ascii="Gill Sans MT" w:hAnsi="Gill Sans MT"/>
          <w:bCs/>
          <w:sz w:val="24"/>
          <w:szCs w:val="24"/>
        </w:rPr>
        <w:t>The Government should deepen legislative, policy a</w:t>
      </w:r>
      <w:r>
        <w:rPr>
          <w:rFonts w:ascii="Gill Sans MT" w:hAnsi="Gill Sans MT"/>
          <w:bCs/>
          <w:sz w:val="24"/>
          <w:szCs w:val="24"/>
        </w:rPr>
        <w:t>nd other measures to guarantee the right of access to adequate housing particularly for the vulnerable and the marginalized.</w:t>
      </w:r>
    </w:p>
    <w:bookmarkEnd w:id="52"/>
    <w:p w14:paraId="4DFFB115"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implement the evictions and resettlements procedures contained in the IDP Act to guide processes and avert th</w:t>
      </w:r>
      <w:r>
        <w:rPr>
          <w:rFonts w:ascii="Gill Sans MT" w:hAnsi="Gill Sans MT"/>
          <w:bCs/>
          <w:sz w:val="24"/>
          <w:szCs w:val="24"/>
        </w:rPr>
        <w:t xml:space="preserve">e rampant human rights violations accompanying evictions. </w:t>
      </w:r>
    </w:p>
    <w:p w14:paraId="65395B01"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prioritize social housing in the big four agenda to ensure inclusivity in addressing the housing challenge in the country.</w:t>
      </w:r>
    </w:p>
    <w:p w14:paraId="6465102D" w14:textId="77777777" w:rsidR="00E258FD" w:rsidRDefault="001372B9">
      <w:pPr>
        <w:pStyle w:val="ListParagraph"/>
        <w:numPr>
          <w:ilvl w:val="0"/>
          <w:numId w:val="1"/>
        </w:numPr>
        <w:spacing w:before="0" w:beforeAutospacing="0" w:after="0" w:line="360" w:lineRule="auto"/>
        <w:jc w:val="both"/>
        <w:rPr>
          <w:rFonts w:ascii="Gill Sans MT" w:hAnsi="Gill Sans MT"/>
          <w:bCs/>
          <w:sz w:val="24"/>
          <w:szCs w:val="24"/>
        </w:rPr>
      </w:pPr>
      <w:r>
        <w:rPr>
          <w:rFonts w:ascii="Gill Sans MT" w:hAnsi="Gill Sans MT"/>
          <w:bCs/>
          <w:sz w:val="24"/>
          <w:szCs w:val="24"/>
        </w:rPr>
        <w:t>The Government should expedite the registration of c</w:t>
      </w:r>
      <w:r>
        <w:rPr>
          <w:rFonts w:ascii="Gill Sans MT" w:hAnsi="Gill Sans MT"/>
          <w:bCs/>
          <w:sz w:val="24"/>
          <w:szCs w:val="24"/>
        </w:rPr>
        <w:t>ommunity land.</w:t>
      </w:r>
    </w:p>
    <w:p w14:paraId="142A6DE2" w14:textId="77777777" w:rsidR="00E258FD" w:rsidRDefault="00E258FD">
      <w:pPr>
        <w:autoSpaceDE w:val="0"/>
        <w:autoSpaceDN w:val="0"/>
        <w:adjustRightInd w:val="0"/>
        <w:spacing w:before="0" w:beforeAutospacing="0" w:after="0" w:line="360" w:lineRule="auto"/>
        <w:jc w:val="both"/>
        <w:rPr>
          <w:rFonts w:ascii="Gill Sans MT" w:hAnsi="Gill Sans MT"/>
          <w:sz w:val="24"/>
          <w:szCs w:val="24"/>
        </w:rPr>
      </w:pPr>
    </w:p>
    <w:p w14:paraId="3AC64148" w14:textId="77777777" w:rsidR="00E258FD" w:rsidRDefault="001372B9">
      <w:pPr>
        <w:pStyle w:val="Heading3"/>
        <w:spacing w:before="0" w:beforeAutospacing="0" w:line="360" w:lineRule="auto"/>
        <w:rPr>
          <w:rFonts w:ascii="Gill Sans MT" w:hAnsi="Gill Sans MT"/>
          <w:i/>
          <w:color w:val="538135"/>
          <w:sz w:val="24"/>
          <w:szCs w:val="24"/>
        </w:rPr>
      </w:pPr>
      <w:bookmarkStart w:id="53" w:name="_Toc106369924"/>
      <w:r>
        <w:rPr>
          <w:rFonts w:ascii="Gill Sans MT" w:hAnsi="Gill Sans MT"/>
          <w:i/>
          <w:color w:val="538135"/>
          <w:sz w:val="24"/>
          <w:szCs w:val="24"/>
        </w:rPr>
        <w:t>4.3.2 Recommendations to development partners</w:t>
      </w:r>
      <w:bookmarkEnd w:id="53"/>
    </w:p>
    <w:p w14:paraId="62C33A40"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 xml:space="preserve">Broaden co-creation efforts in community programming for slum upgrading initiatives to be as accurate as possible in addressing the needs of communities in such initiatives </w:t>
      </w:r>
    </w:p>
    <w:p w14:paraId="769E93F2"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Given the multi-pron</w:t>
      </w:r>
      <w:r>
        <w:rPr>
          <w:rFonts w:ascii="Gill Sans MT" w:hAnsi="Gill Sans MT"/>
          <w:bCs/>
          <w:sz w:val="24"/>
          <w:szCs w:val="24"/>
        </w:rPr>
        <w:t xml:space="preserve">ged challenges that face initiatives of slum upgrading, development partners should consider initiatives that have greater grassroots communities involvement other than implementations through intermediaries </w:t>
      </w:r>
    </w:p>
    <w:p w14:paraId="3C9E9DEE" w14:textId="77777777" w:rsidR="00E258FD" w:rsidRDefault="001372B9">
      <w:pPr>
        <w:pStyle w:val="ListParagraph"/>
        <w:numPr>
          <w:ilvl w:val="0"/>
          <w:numId w:val="24"/>
        </w:numPr>
        <w:spacing w:before="0" w:beforeAutospacing="0" w:after="0" w:line="360" w:lineRule="auto"/>
        <w:jc w:val="both"/>
        <w:rPr>
          <w:rFonts w:ascii="Gill Sans MT" w:hAnsi="Gill Sans MT"/>
          <w:bCs/>
          <w:sz w:val="24"/>
          <w:szCs w:val="24"/>
        </w:rPr>
      </w:pPr>
      <w:r>
        <w:rPr>
          <w:rFonts w:ascii="Gill Sans MT" w:hAnsi="Gill Sans MT"/>
          <w:bCs/>
          <w:sz w:val="24"/>
          <w:szCs w:val="24"/>
        </w:rPr>
        <w:t>Entrench and encourage full public participatio</w:t>
      </w:r>
      <w:r>
        <w:rPr>
          <w:rFonts w:ascii="Gill Sans MT" w:hAnsi="Gill Sans MT"/>
          <w:bCs/>
          <w:sz w:val="24"/>
          <w:szCs w:val="24"/>
        </w:rPr>
        <w:t xml:space="preserve">n in critical development decisions targeting slum dwellers upgrading </w:t>
      </w:r>
    </w:p>
    <w:p w14:paraId="2C1D8668" w14:textId="77777777" w:rsidR="00E258FD" w:rsidRDefault="00E258FD">
      <w:pPr>
        <w:autoSpaceDE w:val="0"/>
        <w:autoSpaceDN w:val="0"/>
        <w:adjustRightInd w:val="0"/>
        <w:spacing w:before="0" w:beforeAutospacing="0" w:after="0" w:line="360" w:lineRule="auto"/>
        <w:jc w:val="both"/>
        <w:rPr>
          <w:rFonts w:ascii="Gill Sans MT" w:hAnsi="Gill Sans MT"/>
          <w:sz w:val="24"/>
          <w:szCs w:val="24"/>
        </w:rPr>
      </w:pPr>
    </w:p>
    <w:p w14:paraId="03BA208C" w14:textId="77777777" w:rsidR="00E258FD" w:rsidRDefault="001372B9">
      <w:pPr>
        <w:pStyle w:val="Heading3"/>
        <w:spacing w:before="0" w:beforeAutospacing="0" w:line="360" w:lineRule="auto"/>
        <w:rPr>
          <w:rFonts w:ascii="Gill Sans MT" w:hAnsi="Gill Sans MT"/>
          <w:i/>
          <w:color w:val="538135"/>
          <w:sz w:val="24"/>
          <w:szCs w:val="24"/>
        </w:rPr>
      </w:pPr>
      <w:bookmarkStart w:id="54" w:name="_Toc106369925"/>
      <w:r>
        <w:rPr>
          <w:rFonts w:ascii="Gill Sans MT" w:hAnsi="Gill Sans MT"/>
          <w:i/>
          <w:color w:val="538135"/>
          <w:sz w:val="24"/>
          <w:szCs w:val="24"/>
        </w:rPr>
        <w:t>4.3.1 Recommendations to the community</w:t>
      </w:r>
      <w:bookmarkEnd w:id="54"/>
      <w:r>
        <w:rPr>
          <w:rFonts w:ascii="Gill Sans MT" w:hAnsi="Gill Sans MT"/>
          <w:i/>
          <w:color w:val="538135"/>
          <w:sz w:val="24"/>
          <w:szCs w:val="24"/>
        </w:rPr>
        <w:t xml:space="preserve"> </w:t>
      </w:r>
    </w:p>
    <w:p w14:paraId="167F4965"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Support efforts and initiatives that encourage self-organizing and mobilization of communities into thematic groups as agencies for advocacy and</w:t>
      </w:r>
      <w:r>
        <w:rPr>
          <w:rFonts w:ascii="Gill Sans MT" w:hAnsi="Gill Sans MT"/>
          <w:bCs/>
          <w:sz w:val="24"/>
          <w:szCs w:val="24"/>
        </w:rPr>
        <w:t xml:space="preserve"> agitating for their interests</w:t>
      </w:r>
    </w:p>
    <w:p w14:paraId="2C2F5373"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Communities should take ownership and personal initiative to protect public installations and development projects set up to benefit the community against vandalism and related wastages that may derail such projects.</w:t>
      </w:r>
    </w:p>
    <w:p w14:paraId="2EA13F9D" w14:textId="77777777" w:rsidR="00E258FD" w:rsidRDefault="001372B9">
      <w:pPr>
        <w:pStyle w:val="ListParagraph"/>
        <w:numPr>
          <w:ilvl w:val="0"/>
          <w:numId w:val="25"/>
        </w:numPr>
        <w:spacing w:before="0" w:beforeAutospacing="0" w:after="0" w:line="360" w:lineRule="auto"/>
        <w:jc w:val="both"/>
        <w:rPr>
          <w:rFonts w:ascii="Gill Sans MT" w:hAnsi="Gill Sans MT"/>
          <w:bCs/>
          <w:sz w:val="24"/>
          <w:szCs w:val="24"/>
        </w:rPr>
      </w:pPr>
      <w:r>
        <w:rPr>
          <w:rFonts w:ascii="Gill Sans MT" w:hAnsi="Gill Sans MT"/>
          <w:bCs/>
          <w:sz w:val="24"/>
          <w:szCs w:val="24"/>
        </w:rPr>
        <w:t>Encourag</w:t>
      </w:r>
      <w:r>
        <w:rPr>
          <w:rFonts w:ascii="Gill Sans MT" w:hAnsi="Gill Sans MT"/>
          <w:bCs/>
          <w:sz w:val="24"/>
          <w:szCs w:val="24"/>
        </w:rPr>
        <w:t xml:space="preserve">e communities to be proactive and willing to participate in public participation forums from which they can adequately agitate for the results they want to see in their respective communities. </w:t>
      </w:r>
    </w:p>
    <w:p w14:paraId="7B1245E5" w14:textId="77777777" w:rsidR="00E258FD" w:rsidRDefault="001372B9">
      <w:pPr>
        <w:autoSpaceDE w:val="0"/>
        <w:autoSpaceDN w:val="0"/>
        <w:adjustRightInd w:val="0"/>
        <w:spacing w:before="0" w:beforeAutospacing="0" w:after="0" w:line="360" w:lineRule="auto"/>
        <w:jc w:val="both"/>
        <w:rPr>
          <w:rFonts w:ascii="Gill Sans MT" w:hAnsi="Gill Sans MT"/>
          <w:sz w:val="24"/>
          <w:szCs w:val="24"/>
        </w:rPr>
      </w:pPr>
      <w:r>
        <w:rPr>
          <w:rFonts w:ascii="Gill Sans MT" w:hAnsi="Gill Sans MT"/>
          <w:sz w:val="24"/>
          <w:szCs w:val="24"/>
        </w:rPr>
        <w:br w:type="page"/>
      </w:r>
    </w:p>
    <w:p w14:paraId="0710568F" w14:textId="77777777" w:rsidR="00E258FD" w:rsidRDefault="001372B9">
      <w:pPr>
        <w:pStyle w:val="Heading1"/>
        <w:shd w:val="clear" w:color="auto" w:fill="A8D08D"/>
        <w:spacing w:before="0" w:beforeAutospacing="0" w:after="0" w:line="360" w:lineRule="auto"/>
        <w:jc w:val="center"/>
        <w:rPr>
          <w:rStyle w:val="BookTitle"/>
          <w:b/>
          <w:bCs w:val="0"/>
          <w:smallCaps w:val="0"/>
          <w:color w:val="0070C0"/>
          <w:spacing w:val="0"/>
          <w:sz w:val="28"/>
        </w:rPr>
      </w:pPr>
      <w:bookmarkStart w:id="55" w:name="_Toc106369926"/>
      <w:r>
        <w:rPr>
          <w:rStyle w:val="BookTitle"/>
          <w:b/>
          <w:bCs w:val="0"/>
          <w:smallCaps w:val="0"/>
          <w:color w:val="0070C0"/>
          <w:spacing w:val="0"/>
          <w:sz w:val="28"/>
        </w:rPr>
        <w:lastRenderedPageBreak/>
        <w:t>REFERENCES</w:t>
      </w:r>
      <w:bookmarkEnd w:id="55"/>
    </w:p>
    <w:p w14:paraId="18D562E0" w14:textId="77777777" w:rsidR="00E258FD" w:rsidRDefault="00E258FD">
      <w:pPr>
        <w:spacing w:before="0" w:beforeAutospacing="0" w:after="0" w:line="360" w:lineRule="auto"/>
        <w:rPr>
          <w:rFonts w:ascii="Gill Sans MT" w:hAnsi="Gill Sans MT"/>
          <w:sz w:val="24"/>
          <w:szCs w:val="24"/>
        </w:rPr>
      </w:pPr>
    </w:p>
    <w:p w14:paraId="4D3EE452"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Amnesty International (2009). </w:t>
      </w:r>
      <w:r>
        <w:rPr>
          <w:rFonts w:ascii="Gill Sans MT" w:hAnsi="Gill Sans MT"/>
          <w:i/>
          <w:sz w:val="24"/>
          <w:szCs w:val="24"/>
        </w:rPr>
        <w:t>Kenya: The Unseen Majority: Nairobi's two million slum-dwellers.</w:t>
      </w:r>
      <w:r>
        <w:rPr>
          <w:rFonts w:ascii="Gill Sans MT" w:hAnsi="Gill Sans MT"/>
          <w:sz w:val="24"/>
          <w:szCs w:val="24"/>
        </w:rPr>
        <w:t xml:space="preserve"> </w:t>
      </w:r>
      <w:r>
        <w:rPr>
          <w:rFonts w:ascii="Gill Sans MT" w:hAnsi="Gill Sans MT"/>
          <w:sz w:val="24"/>
          <w:szCs w:val="24"/>
        </w:rPr>
        <w:tab/>
        <w:t xml:space="preserve">London: Amnesty International. Retrieved from </w:t>
      </w:r>
      <w:hyperlink r:id="rId15" w:history="1">
        <w:r>
          <w:rPr>
            <w:rStyle w:val="Hyperlink"/>
            <w:rFonts w:ascii="Gill Sans MT" w:hAnsi="Gill Sans MT"/>
            <w:sz w:val="24"/>
            <w:szCs w:val="24"/>
          </w:rPr>
          <w:t>https://www.amnesty.o</w:t>
        </w:r>
        <w:r>
          <w:rPr>
            <w:rStyle w:val="Hyperlink"/>
            <w:rFonts w:ascii="Gill Sans MT" w:hAnsi="Gill Sans MT"/>
            <w:sz w:val="24"/>
            <w:szCs w:val="24"/>
          </w:rPr>
          <w:t>rg/en/wp-</w:t>
        </w:r>
        <w:r>
          <w:rPr>
            <w:rStyle w:val="Hyperlink"/>
            <w:rFonts w:ascii="Gill Sans MT" w:hAnsi="Gill Sans MT"/>
            <w:sz w:val="24"/>
            <w:szCs w:val="24"/>
          </w:rPr>
          <w:tab/>
          <w:t>content/uploads/2021/06/afr320052009eng.pdf</w:t>
        </w:r>
      </w:hyperlink>
      <w:r>
        <w:rPr>
          <w:rFonts w:ascii="Gill Sans MT" w:hAnsi="Gill Sans MT"/>
          <w:sz w:val="24"/>
          <w:szCs w:val="24"/>
        </w:rPr>
        <w:t xml:space="preserve"> </w:t>
      </w:r>
    </w:p>
    <w:p w14:paraId="00C9F96E"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Arnstein, R. (1969). “A ladder of citizen participation”. </w:t>
      </w:r>
      <w:r>
        <w:rPr>
          <w:rFonts w:ascii="Gill Sans MT" w:hAnsi="Gill Sans MT"/>
          <w:i/>
          <w:sz w:val="24"/>
          <w:szCs w:val="24"/>
        </w:rPr>
        <w:t xml:space="preserve">Journal of the American Institute of </w:t>
      </w:r>
      <w:r>
        <w:rPr>
          <w:rFonts w:ascii="Gill Sans MT" w:hAnsi="Gill Sans MT"/>
          <w:i/>
          <w:sz w:val="24"/>
          <w:szCs w:val="24"/>
        </w:rPr>
        <w:tab/>
        <w:t>Planners</w:t>
      </w:r>
      <w:r>
        <w:rPr>
          <w:rFonts w:ascii="Gill Sans MT" w:hAnsi="Gill Sans MT"/>
          <w:sz w:val="24"/>
          <w:szCs w:val="24"/>
        </w:rPr>
        <w:t>, 35(4), 216–224.</w:t>
      </w:r>
    </w:p>
    <w:p w14:paraId="5F72AA0E"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Bishop, P. &amp; Davis, G. (2002). “Mapping public participation in policy choices”</w:t>
      </w:r>
      <w:r>
        <w:rPr>
          <w:rFonts w:ascii="Gill Sans MT" w:hAnsi="Gill Sans MT"/>
          <w:sz w:val="24"/>
          <w:szCs w:val="24"/>
        </w:rPr>
        <w:t xml:space="preserve">. </w:t>
      </w:r>
      <w:r>
        <w:rPr>
          <w:rFonts w:ascii="Gill Sans MT" w:hAnsi="Gill Sans MT"/>
          <w:i/>
          <w:sz w:val="24"/>
          <w:szCs w:val="24"/>
        </w:rPr>
        <w:t xml:space="preserve">Australian journal </w:t>
      </w:r>
      <w:r>
        <w:rPr>
          <w:rFonts w:ascii="Gill Sans MT" w:hAnsi="Gill Sans MT"/>
          <w:i/>
          <w:sz w:val="24"/>
          <w:szCs w:val="24"/>
        </w:rPr>
        <w:tab/>
        <w:t>of public administration</w:t>
      </w:r>
      <w:r>
        <w:rPr>
          <w:rFonts w:ascii="Gill Sans MT" w:hAnsi="Gill Sans MT"/>
          <w:sz w:val="24"/>
          <w:szCs w:val="24"/>
        </w:rPr>
        <w:t>, 61(1), 14-29: Wiley Online.</w:t>
      </w:r>
    </w:p>
    <w:p w14:paraId="4CF2C4A9"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Candiracci, S. &amp; Syrjanen, R. (2007). </w:t>
      </w:r>
      <w:r>
        <w:rPr>
          <w:rFonts w:ascii="Gill Sans MT" w:hAnsi="Gill Sans MT"/>
          <w:i/>
          <w:sz w:val="24"/>
          <w:szCs w:val="24"/>
        </w:rPr>
        <w:t>UN-HABITAT and the Kenya Slum Upgrading Programme</w:t>
      </w:r>
      <w:r>
        <w:rPr>
          <w:rFonts w:ascii="Gill Sans MT" w:hAnsi="Gill Sans MT"/>
          <w:sz w:val="24"/>
          <w:szCs w:val="24"/>
        </w:rPr>
        <w:t xml:space="preserve">. </w:t>
      </w:r>
      <w:r>
        <w:rPr>
          <w:rFonts w:ascii="Gill Sans MT" w:hAnsi="Gill Sans MT"/>
          <w:sz w:val="24"/>
          <w:szCs w:val="24"/>
        </w:rPr>
        <w:tab/>
        <w:t xml:space="preserve">Nairobi: United Nations Human Settlement Program (UN-HABITAT). Retrieved from </w:t>
      </w:r>
      <w:r>
        <w:rPr>
          <w:rFonts w:ascii="Gill Sans MT" w:hAnsi="Gill Sans MT"/>
          <w:sz w:val="24"/>
          <w:szCs w:val="24"/>
        </w:rPr>
        <w:tab/>
      </w:r>
      <w:hyperlink r:id="rId16" w:history="1">
        <w:r>
          <w:rPr>
            <w:rStyle w:val="Hyperlink"/>
            <w:rFonts w:ascii="Gill Sans MT" w:hAnsi="Gill Sans MT"/>
            <w:sz w:val="24"/>
            <w:szCs w:val="24"/>
          </w:rPr>
          <w:t>https://unhabitat.org/sites/default/files/download-manager-files/UN-</w:t>
        </w:r>
        <w:r>
          <w:rPr>
            <w:rStyle w:val="Hyperlink"/>
            <w:rFonts w:ascii="Gill Sans MT" w:hAnsi="Gill Sans MT"/>
            <w:sz w:val="24"/>
            <w:szCs w:val="24"/>
          </w:rPr>
          <w:tab/>
          <w:t>HABITAT%20and%20Kenya%20Slum%20Upgra</w:t>
        </w:r>
        <w:r>
          <w:rPr>
            <w:rStyle w:val="Hyperlink"/>
            <w:rFonts w:ascii="Gill Sans MT" w:hAnsi="Gill Sans MT"/>
            <w:sz w:val="24"/>
            <w:szCs w:val="24"/>
          </w:rPr>
          <w:t>ding%20Programme%20%28KENSUP%29</w:t>
        </w:r>
        <w:r>
          <w:rPr>
            <w:rStyle w:val="Hyperlink"/>
            <w:rFonts w:ascii="Gill Sans MT" w:hAnsi="Gill Sans MT"/>
            <w:sz w:val="24"/>
            <w:szCs w:val="24"/>
          </w:rPr>
          <w:tab/>
          <w:t>.pdf</w:t>
        </w:r>
      </w:hyperlink>
      <w:r>
        <w:rPr>
          <w:rFonts w:ascii="Gill Sans MT" w:hAnsi="Gill Sans MT"/>
          <w:sz w:val="24"/>
          <w:szCs w:val="24"/>
        </w:rPr>
        <w:t xml:space="preserve"> </w:t>
      </w:r>
    </w:p>
    <w:p w14:paraId="186F6A14"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Choguill, M.  (1996). “A  ladder  of  community  participation  for  underdeveloped  countries”.</w:t>
      </w:r>
    </w:p>
    <w:p w14:paraId="05453D36"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Dierkx, D. (2019). </w:t>
      </w:r>
      <w:r>
        <w:rPr>
          <w:rFonts w:ascii="Gill Sans MT" w:hAnsi="Gill Sans MT"/>
          <w:i/>
          <w:sz w:val="24"/>
          <w:szCs w:val="24"/>
        </w:rPr>
        <w:t xml:space="preserve">The Process Of Urban Renewal In Nairobi, Kenya: A Case Study On Citizen </w:t>
      </w:r>
      <w:r>
        <w:rPr>
          <w:rFonts w:ascii="Gill Sans MT" w:hAnsi="Gill Sans MT"/>
          <w:i/>
          <w:sz w:val="24"/>
          <w:szCs w:val="24"/>
        </w:rPr>
        <w:tab/>
        <w:t>Participation Within The Rene</w:t>
      </w:r>
      <w:r>
        <w:rPr>
          <w:rFonts w:ascii="Gill Sans MT" w:hAnsi="Gill Sans MT"/>
          <w:i/>
          <w:sz w:val="24"/>
          <w:szCs w:val="24"/>
        </w:rPr>
        <w:t>wal Of Nairobi City County Estates</w:t>
      </w:r>
      <w:r>
        <w:rPr>
          <w:rFonts w:ascii="Gill Sans MT" w:hAnsi="Gill Sans MT"/>
          <w:sz w:val="24"/>
          <w:szCs w:val="24"/>
        </w:rPr>
        <w:t xml:space="preserve">. [Masters Thesis, </w:t>
      </w:r>
      <w:r>
        <w:rPr>
          <w:rFonts w:ascii="Gill Sans MT" w:hAnsi="Gill Sans MT"/>
          <w:sz w:val="24"/>
          <w:szCs w:val="24"/>
        </w:rPr>
        <w:tab/>
        <w:t>Wageningen University].</w:t>
      </w:r>
    </w:p>
    <w:p w14:paraId="4C4A0015" w14:textId="77777777" w:rsidR="00E258FD" w:rsidRDefault="001372B9">
      <w:pPr>
        <w:spacing w:before="0" w:beforeAutospacing="0" w:after="0" w:line="360" w:lineRule="auto"/>
        <w:rPr>
          <w:rFonts w:ascii="Gill Sans MT" w:hAnsi="Gill Sans MT"/>
          <w:i/>
          <w:iCs/>
          <w:sz w:val="24"/>
          <w:szCs w:val="24"/>
        </w:rPr>
      </w:pPr>
      <w:r>
        <w:rPr>
          <w:rFonts w:ascii="Gill Sans MT" w:hAnsi="Gill Sans MT"/>
          <w:sz w:val="24"/>
          <w:szCs w:val="24"/>
        </w:rPr>
        <w:t>Freidrich-Ebert-Stiftung Kenya (2020).</w:t>
      </w:r>
      <w:r>
        <w:rPr>
          <w:rFonts w:ascii="Gill Sans MT" w:hAnsi="Gill Sans MT"/>
          <w:i/>
          <w:iCs/>
          <w:sz w:val="24"/>
          <w:szCs w:val="24"/>
        </w:rPr>
        <w:t>"</w:t>
      </w:r>
      <w:r>
        <w:rPr>
          <w:rFonts w:ascii="Gill Sans MT" w:hAnsi="Gill Sans MT"/>
          <w:iCs/>
          <w:sz w:val="24"/>
          <w:szCs w:val="24"/>
        </w:rPr>
        <w:t>Towards the Just City in Kenya</w:t>
      </w:r>
      <w:r>
        <w:rPr>
          <w:rFonts w:ascii="Gill Sans MT" w:hAnsi="Gill Sans MT"/>
          <w:i/>
          <w:iCs/>
          <w:sz w:val="24"/>
          <w:szCs w:val="24"/>
        </w:rPr>
        <w:t xml:space="preserve">.” </w:t>
      </w:r>
      <w:r>
        <w:rPr>
          <w:rFonts w:ascii="Gill Sans MT" w:hAnsi="Gill Sans MT"/>
          <w:i/>
          <w:sz w:val="24"/>
          <w:szCs w:val="24"/>
        </w:rPr>
        <w:t xml:space="preserve"> Habitat international</w:t>
      </w:r>
      <w:r>
        <w:rPr>
          <w:rFonts w:ascii="Gill Sans MT" w:hAnsi="Gill Sans MT"/>
          <w:sz w:val="24"/>
          <w:szCs w:val="24"/>
        </w:rPr>
        <w:t xml:space="preserve">, </w:t>
      </w:r>
      <w:r>
        <w:rPr>
          <w:rFonts w:ascii="Gill Sans MT" w:hAnsi="Gill Sans MT"/>
          <w:sz w:val="24"/>
          <w:szCs w:val="24"/>
        </w:rPr>
        <w:tab/>
        <w:t>20(3), 431-444: Elsevier.</w:t>
      </w:r>
    </w:p>
    <w:p w14:paraId="4DF1F9B3"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Gikonyo, M. (2012). </w:t>
      </w:r>
      <w:r>
        <w:rPr>
          <w:rFonts w:ascii="Gill Sans MT" w:hAnsi="Gill Sans MT"/>
          <w:i/>
          <w:sz w:val="24"/>
          <w:szCs w:val="24"/>
        </w:rPr>
        <w:t>An Investigation into the challenge</w:t>
      </w:r>
      <w:r>
        <w:rPr>
          <w:rFonts w:ascii="Gill Sans MT" w:hAnsi="Gill Sans MT"/>
          <w:i/>
          <w:sz w:val="24"/>
          <w:szCs w:val="24"/>
        </w:rPr>
        <w:t xml:space="preserve">s facing Implementation of slum Upgrading </w:t>
      </w:r>
      <w:r>
        <w:rPr>
          <w:rFonts w:ascii="Gill Sans MT" w:hAnsi="Gill Sans MT"/>
          <w:i/>
          <w:sz w:val="24"/>
          <w:szCs w:val="24"/>
        </w:rPr>
        <w:tab/>
        <w:t>Programmes in Kenya: A Case Study of Manyatta, Kisumu County</w:t>
      </w:r>
      <w:r>
        <w:rPr>
          <w:rFonts w:ascii="Gill Sans MT" w:hAnsi="Gill Sans MT"/>
          <w:sz w:val="24"/>
          <w:szCs w:val="24"/>
        </w:rPr>
        <w:t xml:space="preserve">. [Post Graduate Diploma, </w:t>
      </w:r>
      <w:r>
        <w:rPr>
          <w:rFonts w:ascii="Gill Sans MT" w:hAnsi="Gill Sans MT"/>
          <w:sz w:val="24"/>
          <w:szCs w:val="24"/>
        </w:rPr>
        <w:tab/>
        <w:t xml:space="preserve">Nairobi University]. Retrieved from </w:t>
      </w:r>
      <w:hyperlink r:id="rId17" w:history="1">
        <w:r>
          <w:rPr>
            <w:rStyle w:val="Hyperlink"/>
            <w:rFonts w:ascii="Gill Sans MT" w:hAnsi="Gill Sans MT"/>
            <w:sz w:val="24"/>
            <w:szCs w:val="24"/>
          </w:rPr>
          <w:t>http://erepository.uonbi</w:t>
        </w:r>
        <w:r>
          <w:rPr>
            <w:rStyle w:val="Hyperlink"/>
            <w:rFonts w:ascii="Gill Sans MT" w:hAnsi="Gill Sans MT"/>
            <w:sz w:val="24"/>
            <w:szCs w:val="24"/>
          </w:rPr>
          <w:t>.ac.ke/handle/11295/90750</w:t>
        </w:r>
      </w:hyperlink>
      <w:r>
        <w:rPr>
          <w:rFonts w:ascii="Gill Sans MT" w:hAnsi="Gill Sans MT"/>
          <w:sz w:val="24"/>
          <w:szCs w:val="24"/>
        </w:rPr>
        <w:t xml:space="preserve"> </w:t>
      </w:r>
    </w:p>
    <w:p w14:paraId="57051A39"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ab/>
      </w:r>
      <w:hyperlink r:id="rId18" w:history="1">
        <w:r>
          <w:rPr>
            <w:rStyle w:val="Hyperlink"/>
            <w:rFonts w:ascii="Gill Sans MT" w:hAnsi="Gill Sans MT"/>
            <w:sz w:val="24"/>
            <w:szCs w:val="24"/>
          </w:rPr>
          <w:t>http://www.jstor.org.ezproxy.library.wur.nl/stable/43198476</w:t>
        </w:r>
      </w:hyperlink>
      <w:r>
        <w:rPr>
          <w:rFonts w:ascii="Gill Sans MT" w:hAnsi="Gill Sans MT"/>
          <w:sz w:val="24"/>
          <w:szCs w:val="24"/>
        </w:rPr>
        <w:t xml:space="preserve"> </w:t>
      </w:r>
    </w:p>
    <w:p w14:paraId="79CBE082"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Kempe, R. (2019). “Urbanization in Kenya”. </w:t>
      </w:r>
      <w:r>
        <w:rPr>
          <w:rFonts w:ascii="Gill Sans MT" w:hAnsi="Gill Sans MT"/>
          <w:i/>
          <w:sz w:val="24"/>
          <w:szCs w:val="24"/>
        </w:rPr>
        <w:t>African J. Economic and Sustainable Development</w:t>
      </w:r>
      <w:r>
        <w:rPr>
          <w:rFonts w:ascii="Gill Sans MT" w:hAnsi="Gill Sans MT"/>
          <w:sz w:val="24"/>
          <w:szCs w:val="24"/>
        </w:rPr>
        <w:t>,</w:t>
      </w:r>
      <w:r>
        <w:rPr>
          <w:rFonts w:ascii="Gill Sans MT" w:hAnsi="Gill Sans MT"/>
          <w:sz w:val="24"/>
          <w:szCs w:val="24"/>
        </w:rPr>
        <w:t xml:space="preserve"> 1(1): </w:t>
      </w:r>
      <w:r>
        <w:rPr>
          <w:rFonts w:ascii="Gill Sans MT" w:hAnsi="Gill Sans MT"/>
          <w:sz w:val="24"/>
          <w:szCs w:val="24"/>
        </w:rPr>
        <w:tab/>
        <w:t xml:space="preserve">1-20. Retrieved from </w:t>
      </w:r>
      <w:r>
        <w:rPr>
          <w:rFonts w:ascii="Gill Sans MT" w:hAnsi="Gill Sans MT"/>
          <w:sz w:val="24"/>
          <w:szCs w:val="24"/>
        </w:rPr>
        <w:tab/>
      </w:r>
      <w:hyperlink r:id="rId19" w:history="1">
        <w:r>
          <w:rPr>
            <w:rStyle w:val="Hyperlink"/>
            <w:rFonts w:ascii="Gill Sans MT" w:hAnsi="Gill Sans MT"/>
            <w:sz w:val="24"/>
            <w:szCs w:val="24"/>
          </w:rPr>
          <w:t>https://www.researchgate.net/publication/262855415_Urbanization_in_Kenya</w:t>
        </w:r>
      </w:hyperlink>
      <w:r>
        <w:rPr>
          <w:rFonts w:ascii="Gill Sans MT" w:hAnsi="Gill Sans MT"/>
          <w:sz w:val="24"/>
          <w:szCs w:val="24"/>
        </w:rPr>
        <w:t xml:space="preserve"> </w:t>
      </w:r>
    </w:p>
    <w:p w14:paraId="1D70D955"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Kenya National Bureau of Statistics, KNBS. (2019). </w:t>
      </w:r>
      <w:r>
        <w:rPr>
          <w:rFonts w:ascii="Gill Sans MT" w:hAnsi="Gill Sans MT"/>
          <w:i/>
          <w:sz w:val="24"/>
          <w:szCs w:val="24"/>
        </w:rPr>
        <w:t xml:space="preserve">2019 Kenya Population and Housing Census: </w:t>
      </w:r>
      <w:r>
        <w:rPr>
          <w:rFonts w:ascii="Gill Sans MT" w:hAnsi="Gill Sans MT"/>
          <w:i/>
          <w:sz w:val="24"/>
          <w:szCs w:val="24"/>
        </w:rPr>
        <w:tab/>
        <w:t>Volume IV - Distribution of Population by Socio-Economic Characteristics</w:t>
      </w:r>
      <w:r>
        <w:rPr>
          <w:rFonts w:ascii="Gill Sans MT" w:hAnsi="Gill Sans MT"/>
          <w:sz w:val="24"/>
          <w:szCs w:val="24"/>
        </w:rPr>
        <w:t xml:space="preserve">. Nairobi: </w:t>
      </w:r>
      <w:r>
        <w:rPr>
          <w:rFonts w:ascii="Gill Sans MT" w:hAnsi="Gill Sans MT"/>
          <w:sz w:val="24"/>
          <w:szCs w:val="24"/>
        </w:rPr>
        <w:tab/>
        <w:t>Gove</w:t>
      </w:r>
      <w:r>
        <w:rPr>
          <w:rFonts w:ascii="Gill Sans MT" w:hAnsi="Gill Sans MT"/>
          <w:sz w:val="24"/>
          <w:szCs w:val="24"/>
        </w:rPr>
        <w:t xml:space="preserve">rnment </w:t>
      </w:r>
      <w:r>
        <w:rPr>
          <w:rFonts w:ascii="Gill Sans MT" w:hAnsi="Gill Sans MT"/>
          <w:sz w:val="24"/>
          <w:szCs w:val="24"/>
        </w:rPr>
        <w:tab/>
        <w:t xml:space="preserve">Press. Retrieved from </w:t>
      </w:r>
      <w:r>
        <w:rPr>
          <w:rFonts w:ascii="Gill Sans MT" w:hAnsi="Gill Sans MT"/>
          <w:sz w:val="24"/>
          <w:szCs w:val="24"/>
        </w:rPr>
        <w:lastRenderedPageBreak/>
        <w:tab/>
      </w:r>
      <w:hyperlink r:id="rId20" w:history="1">
        <w:r>
          <w:rPr>
            <w:rStyle w:val="Hyperlink"/>
            <w:rFonts w:ascii="Gill Sans MT" w:hAnsi="Gill Sans MT"/>
            <w:sz w:val="24"/>
            <w:szCs w:val="24"/>
          </w:rPr>
          <w:t>file:///E:/Work%202.0/Patrick%20Ochieng/Pamoja%20Trust%20Assignment/Documents/</w:t>
        </w:r>
        <w:r>
          <w:rPr>
            <w:rStyle w:val="Hyperlink"/>
            <w:rFonts w:ascii="Gill Sans MT" w:hAnsi="Gill Sans MT"/>
            <w:sz w:val="24"/>
            <w:szCs w:val="24"/>
          </w:rPr>
          <w:tab/>
          <w:t>VOLUME%20IV%20KPHC%20</w:t>
        </w:r>
        <w:r>
          <w:rPr>
            <w:rStyle w:val="Hyperlink"/>
            <w:rFonts w:ascii="Gill Sans MT" w:hAnsi="Gill Sans MT"/>
            <w:sz w:val="24"/>
            <w:szCs w:val="24"/>
          </w:rPr>
          <w:t>2019.pdf</w:t>
        </w:r>
      </w:hyperlink>
      <w:r>
        <w:rPr>
          <w:rFonts w:ascii="Gill Sans MT" w:hAnsi="Gill Sans MT"/>
          <w:sz w:val="24"/>
          <w:szCs w:val="24"/>
        </w:rPr>
        <w:t xml:space="preserve">   </w:t>
      </w:r>
    </w:p>
    <w:p w14:paraId="0D4E6055"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lang w:eastAsia="zh-CN"/>
        </w:rPr>
        <w:t xml:space="preserve">Lines K, and Makau J. “Taking the long view: 20 years of Muungano wa Wanavijiji, the Kenyan </w:t>
      </w:r>
      <w:r>
        <w:rPr>
          <w:rFonts w:ascii="Gill Sans MT" w:hAnsi="Gill Sans MT"/>
          <w:sz w:val="24"/>
          <w:szCs w:val="24"/>
          <w:lang w:eastAsia="zh-CN"/>
        </w:rPr>
        <w:tab/>
      </w:r>
      <w:r>
        <w:rPr>
          <w:rFonts w:ascii="Gill Sans MT" w:hAnsi="Gill Sans MT"/>
          <w:sz w:val="24"/>
          <w:szCs w:val="24"/>
          <w:lang w:eastAsia="zh-CN"/>
        </w:rPr>
        <w:tab/>
        <w:t xml:space="preserve">federation of slum dwellers” Environment &amp; Urbanization Copyright © 2018 </w:t>
      </w:r>
      <w:r>
        <w:rPr>
          <w:rFonts w:ascii="Gill Sans MT" w:hAnsi="Gill Sans MT"/>
          <w:sz w:val="24"/>
          <w:szCs w:val="24"/>
          <w:lang w:eastAsia="zh-CN"/>
        </w:rPr>
        <w:tab/>
      </w:r>
      <w:r>
        <w:rPr>
          <w:rFonts w:ascii="Gill Sans MT" w:hAnsi="Gill Sans MT"/>
          <w:sz w:val="24"/>
          <w:szCs w:val="24"/>
          <w:lang w:eastAsia="zh-CN"/>
        </w:rPr>
        <w:tab/>
        <w:t xml:space="preserve">International Institute for Environment and Development (IIED). Vol 30(2): </w:t>
      </w:r>
      <w:r>
        <w:rPr>
          <w:rFonts w:ascii="Gill Sans MT" w:hAnsi="Gill Sans MT"/>
          <w:sz w:val="24"/>
          <w:szCs w:val="24"/>
          <w:lang w:eastAsia="zh-CN"/>
        </w:rPr>
        <w:t xml:space="preserve">407–424. </w:t>
      </w:r>
    </w:p>
    <w:p w14:paraId="12D2572D"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Moser, C. (2010). “Community participation in urban projects in the Third World:. </w:t>
      </w:r>
      <w:r>
        <w:rPr>
          <w:rFonts w:ascii="Gill Sans MT" w:hAnsi="Gill Sans MT"/>
          <w:i/>
          <w:sz w:val="24"/>
          <w:szCs w:val="24"/>
        </w:rPr>
        <w:t xml:space="preserve">Progress in </w:t>
      </w:r>
      <w:r>
        <w:rPr>
          <w:rFonts w:ascii="Gill Sans MT" w:hAnsi="Gill Sans MT"/>
          <w:i/>
          <w:sz w:val="24"/>
          <w:szCs w:val="24"/>
        </w:rPr>
        <w:tab/>
        <w:t>planning,</w:t>
      </w:r>
      <w:r>
        <w:rPr>
          <w:rFonts w:ascii="Gill Sans MT" w:hAnsi="Gill Sans MT"/>
          <w:sz w:val="24"/>
          <w:szCs w:val="24"/>
        </w:rPr>
        <w:t xml:space="preserve"> 32, 71-133: Elsevier.</w:t>
      </w:r>
    </w:p>
    <w:p w14:paraId="2A6718F7"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Muraguri, L. (2017). </w:t>
      </w:r>
      <w:r>
        <w:rPr>
          <w:rFonts w:ascii="Gill Sans MT" w:hAnsi="Gill Sans MT"/>
          <w:i/>
          <w:sz w:val="24"/>
          <w:szCs w:val="24"/>
        </w:rPr>
        <w:t>Kenya Government initiatives in Slum Upgrading</w:t>
      </w:r>
      <w:r>
        <w:rPr>
          <w:rFonts w:ascii="Gill Sans MT" w:hAnsi="Gill Sans MT"/>
          <w:sz w:val="24"/>
          <w:szCs w:val="24"/>
        </w:rPr>
        <w:t>. Nairobi, Kenya.</w:t>
      </w:r>
    </w:p>
    <w:p w14:paraId="5035775F"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Mutero, J. &amp; Chege, M. (2019). </w:t>
      </w:r>
      <w:r>
        <w:rPr>
          <w:rFonts w:ascii="Gill Sans MT" w:hAnsi="Gill Sans MT"/>
          <w:i/>
          <w:sz w:val="24"/>
          <w:szCs w:val="24"/>
        </w:rPr>
        <w:t>Bri</w:t>
      </w:r>
      <w:r>
        <w:rPr>
          <w:rFonts w:ascii="Gill Sans MT" w:hAnsi="Gill Sans MT"/>
          <w:i/>
          <w:sz w:val="24"/>
          <w:szCs w:val="24"/>
        </w:rPr>
        <w:t xml:space="preserve">dging the affordability Gap: Towards a financing mechanism for </w:t>
      </w:r>
      <w:r>
        <w:rPr>
          <w:rFonts w:ascii="Gill Sans MT" w:hAnsi="Gill Sans MT"/>
          <w:i/>
          <w:sz w:val="24"/>
          <w:szCs w:val="24"/>
        </w:rPr>
        <w:tab/>
        <w:t>slum upgrading at scale in Nairobi</w:t>
      </w:r>
      <w:r>
        <w:rPr>
          <w:rFonts w:ascii="Gill Sans MT" w:hAnsi="Gill Sans MT"/>
          <w:sz w:val="24"/>
          <w:szCs w:val="24"/>
        </w:rPr>
        <w:t>. Nairobi: UN Habitat.</w:t>
      </w:r>
    </w:p>
    <w:p w14:paraId="2E3167D5"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Ndukui, E. (2012). </w:t>
      </w:r>
      <w:r>
        <w:rPr>
          <w:rFonts w:ascii="Gill Sans MT" w:hAnsi="Gill Sans MT"/>
          <w:i/>
          <w:sz w:val="24"/>
          <w:szCs w:val="24"/>
        </w:rPr>
        <w:t xml:space="preserve">Challenges of slum upgrading for urban informal settlements; case of Soweto East </w:t>
      </w:r>
      <w:r>
        <w:rPr>
          <w:rFonts w:ascii="Gill Sans MT" w:hAnsi="Gill Sans MT"/>
          <w:i/>
          <w:sz w:val="24"/>
          <w:szCs w:val="24"/>
        </w:rPr>
        <w:tab/>
        <w:t>village in kibera informal settlem</w:t>
      </w:r>
      <w:r>
        <w:rPr>
          <w:rFonts w:ascii="Gill Sans MT" w:hAnsi="Gill Sans MT"/>
          <w:i/>
          <w:sz w:val="24"/>
          <w:szCs w:val="24"/>
        </w:rPr>
        <w:t xml:space="preserve">ents, city of Nairobi. </w:t>
      </w:r>
      <w:r>
        <w:rPr>
          <w:rFonts w:ascii="Gill Sans MT" w:hAnsi="Gill Sans MT"/>
          <w:sz w:val="24"/>
          <w:szCs w:val="24"/>
        </w:rPr>
        <w:t>Nairobi: Ukweli Publishers.</w:t>
      </w:r>
    </w:p>
    <w:p w14:paraId="38691492"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Obare, M. (2020). An Evaluation of Slum Upgrading Schemes in Nairobi County: The Case of </w:t>
      </w:r>
      <w:r>
        <w:rPr>
          <w:rFonts w:ascii="Gill Sans MT" w:hAnsi="Gill Sans MT"/>
          <w:sz w:val="24"/>
          <w:szCs w:val="24"/>
        </w:rPr>
        <w:tab/>
        <w:t xml:space="preserve">Kibera Slums. [Bachelor's Degree, Nairobi University]. Retrieved from </w:t>
      </w:r>
      <w:r>
        <w:rPr>
          <w:rFonts w:ascii="Gill Sans MT" w:hAnsi="Gill Sans MT"/>
          <w:sz w:val="24"/>
          <w:szCs w:val="24"/>
        </w:rPr>
        <w:tab/>
      </w:r>
      <w:hyperlink r:id="rId21" w:history="1">
        <w:r>
          <w:rPr>
            <w:rStyle w:val="Hyperlink"/>
            <w:rFonts w:ascii="Gill Sans MT" w:hAnsi="Gill Sans MT"/>
            <w:sz w:val="24"/>
            <w:szCs w:val="24"/>
          </w:rPr>
          <w:t>https://www.researchgat</w:t>
        </w:r>
        <w:r>
          <w:rPr>
            <w:rStyle w:val="Hyperlink"/>
            <w:rFonts w:ascii="Gill Sans MT" w:hAnsi="Gill Sans MT"/>
            <w:sz w:val="24"/>
            <w:szCs w:val="24"/>
          </w:rPr>
          <w:t>e.net/publication/339069141_AN_EVALUATION_OF_SLUM_</w:t>
        </w:r>
        <w:r>
          <w:rPr>
            <w:rStyle w:val="Hyperlink"/>
            <w:rFonts w:ascii="Gill Sans MT" w:hAnsi="Gill Sans MT"/>
            <w:sz w:val="24"/>
            <w:szCs w:val="24"/>
          </w:rPr>
          <w:tab/>
          <w:t>UPGRADING_SCHEMES_IN_NAIROBI_COUNTY_THE_CASE_OF_KIBERA_SLUMS</w:t>
        </w:r>
        <w:r>
          <w:rPr>
            <w:rStyle w:val="Hyperlink"/>
            <w:rFonts w:ascii="Gill Sans MT" w:hAnsi="Gill Sans MT"/>
            <w:sz w:val="24"/>
            <w:szCs w:val="24"/>
          </w:rPr>
          <w:tab/>
          <w:t>_A_Research_Project_Report_Submitted_in_Partial_Fulfillment_for_the_Requirements</w:t>
        </w:r>
        <w:r>
          <w:rPr>
            <w:rStyle w:val="Hyperlink"/>
            <w:rFonts w:ascii="Gill Sans MT" w:hAnsi="Gill Sans MT"/>
            <w:sz w:val="24"/>
            <w:szCs w:val="24"/>
          </w:rPr>
          <w:tab/>
          <w:t>_</w:t>
        </w:r>
        <w:proofErr w:type="spellStart"/>
        <w:r>
          <w:rPr>
            <w:rStyle w:val="Hyperlink"/>
            <w:rFonts w:ascii="Gill Sans MT" w:hAnsi="Gill Sans MT"/>
            <w:sz w:val="24"/>
            <w:szCs w:val="24"/>
          </w:rPr>
          <w:t>For_the_Degree_of_Bachelor_of_Environ</w:t>
        </w:r>
        <w:proofErr w:type="spellEnd"/>
      </w:hyperlink>
      <w:r>
        <w:rPr>
          <w:rFonts w:ascii="Gill Sans MT" w:hAnsi="Gill Sans MT"/>
          <w:sz w:val="24"/>
          <w:szCs w:val="24"/>
        </w:rPr>
        <w:t xml:space="preserve"> </w:t>
      </w:r>
    </w:p>
    <w:p w14:paraId="3246F5BD"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Ouma, S. (2011). “The S</w:t>
      </w:r>
      <w:r>
        <w:rPr>
          <w:rFonts w:ascii="Gill Sans MT" w:hAnsi="Gill Sans MT"/>
          <w:sz w:val="24"/>
          <w:szCs w:val="24"/>
        </w:rPr>
        <w:t>lum-Shacks Question and the Making of 21</w:t>
      </w:r>
      <w:r>
        <w:rPr>
          <w:rFonts w:ascii="Gill Sans MT" w:hAnsi="Gill Sans MT"/>
          <w:sz w:val="24"/>
          <w:szCs w:val="24"/>
          <w:vertAlign w:val="superscript"/>
        </w:rPr>
        <w:t>st</w:t>
      </w:r>
      <w:r>
        <w:rPr>
          <w:rFonts w:ascii="Gill Sans MT" w:hAnsi="Gill Sans MT"/>
          <w:sz w:val="24"/>
          <w:szCs w:val="24"/>
        </w:rPr>
        <w:t xml:space="preserve"> Century Political </w:t>
      </w:r>
      <w:r>
        <w:rPr>
          <w:rFonts w:ascii="Gill Sans MT" w:hAnsi="Gill Sans MT"/>
          <w:sz w:val="24"/>
          <w:szCs w:val="24"/>
        </w:rPr>
        <w:tab/>
        <w:t xml:space="preserve">Citizenship in Postcolonial Nairobi, Kenya and Harare, Zimbabwe”, </w:t>
      </w:r>
      <w:r>
        <w:rPr>
          <w:rFonts w:ascii="Gill Sans MT" w:hAnsi="Gill Sans MT"/>
          <w:i/>
          <w:sz w:val="24"/>
          <w:szCs w:val="24"/>
        </w:rPr>
        <w:t xml:space="preserve">Les Cahiers d’Afrique </w:t>
      </w:r>
      <w:r>
        <w:rPr>
          <w:rFonts w:ascii="Gill Sans MT" w:hAnsi="Gill Sans MT"/>
          <w:i/>
          <w:sz w:val="24"/>
          <w:szCs w:val="24"/>
        </w:rPr>
        <w:tab/>
        <w:t xml:space="preserve">de l’Est / The East African </w:t>
      </w:r>
      <w:r>
        <w:rPr>
          <w:rFonts w:ascii="Gill Sans MT" w:hAnsi="Gill Sans MT"/>
          <w:sz w:val="24"/>
          <w:szCs w:val="24"/>
        </w:rPr>
        <w:t xml:space="preserve">[Online], 44 | 2011, Retrieved from </w:t>
      </w:r>
      <w:r>
        <w:rPr>
          <w:rFonts w:ascii="Gill Sans MT" w:hAnsi="Gill Sans MT"/>
          <w:sz w:val="24"/>
          <w:szCs w:val="24"/>
        </w:rPr>
        <w:tab/>
      </w:r>
      <w:hyperlink r:id="rId22" w:history="1">
        <w:r>
          <w:rPr>
            <w:rStyle w:val="Hyperlink"/>
            <w:rFonts w:ascii="Gill Sans MT" w:hAnsi="Gill Sans MT"/>
            <w:sz w:val="24"/>
            <w:szCs w:val="24"/>
          </w:rPr>
          <w:t>http://journals.openedition.org/eastafrica/524</w:t>
        </w:r>
      </w:hyperlink>
      <w:r>
        <w:rPr>
          <w:rFonts w:ascii="Gill Sans MT" w:hAnsi="Gill Sans MT"/>
          <w:sz w:val="24"/>
          <w:szCs w:val="24"/>
        </w:rPr>
        <w:t xml:space="preserve"> </w:t>
      </w:r>
    </w:p>
    <w:p w14:paraId="674E1F30"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Plessis, J. (2015). “The Growing Problem of Forced Evictions and the Crucial Importance of </w:t>
      </w:r>
      <w:r>
        <w:rPr>
          <w:rFonts w:ascii="Gill Sans MT" w:hAnsi="Gill Sans MT"/>
          <w:sz w:val="24"/>
          <w:szCs w:val="24"/>
        </w:rPr>
        <w:tab/>
        <w:t xml:space="preserve">Community-Based, Locally Appropriate Alternatives”. </w:t>
      </w:r>
      <w:r>
        <w:rPr>
          <w:rFonts w:ascii="Gill Sans MT" w:hAnsi="Gill Sans MT"/>
          <w:i/>
          <w:sz w:val="24"/>
          <w:szCs w:val="24"/>
        </w:rPr>
        <w:t xml:space="preserve">Environment and Urbanization - </w:t>
      </w:r>
      <w:r>
        <w:rPr>
          <w:rFonts w:ascii="Gill Sans MT" w:hAnsi="Gill Sans MT"/>
          <w:i/>
          <w:sz w:val="24"/>
          <w:szCs w:val="24"/>
        </w:rPr>
        <w:tab/>
        <w:t>Environ U</w:t>
      </w:r>
      <w:r>
        <w:rPr>
          <w:rFonts w:ascii="Gill Sans MT" w:hAnsi="Gill Sans MT"/>
          <w:i/>
          <w:sz w:val="24"/>
          <w:szCs w:val="24"/>
        </w:rPr>
        <w:t>rban,</w:t>
      </w:r>
      <w:r>
        <w:rPr>
          <w:rFonts w:ascii="Gill Sans MT" w:hAnsi="Gill Sans MT"/>
          <w:sz w:val="24"/>
          <w:szCs w:val="24"/>
        </w:rPr>
        <w:t xml:space="preserve"> 17: 123-134.</w:t>
      </w:r>
    </w:p>
    <w:p w14:paraId="3B0F51E0"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Sasggerson, E. (2018). </w:t>
      </w:r>
      <w:r>
        <w:rPr>
          <w:rFonts w:ascii="Gill Sans MT" w:hAnsi="Gill Sans MT"/>
          <w:i/>
          <w:sz w:val="24"/>
          <w:szCs w:val="24"/>
        </w:rPr>
        <w:t xml:space="preserve">Geology of Nairobi area: Degree sheet 51.NEQUATER – Mines and Geology </w:t>
      </w:r>
      <w:r>
        <w:rPr>
          <w:rFonts w:ascii="Gill Sans MT" w:hAnsi="Gill Sans MT"/>
          <w:i/>
          <w:sz w:val="24"/>
          <w:szCs w:val="24"/>
        </w:rPr>
        <w:tab/>
        <w:t>Department</w:t>
      </w:r>
      <w:r>
        <w:rPr>
          <w:rFonts w:ascii="Gill Sans MT" w:hAnsi="Gill Sans MT"/>
          <w:sz w:val="24"/>
          <w:szCs w:val="24"/>
        </w:rPr>
        <w:t>. Nairobi: English press.</w:t>
      </w:r>
    </w:p>
    <w:p w14:paraId="55C4C542"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Shehayed, D. &amp; Sabry, S. (2018). </w:t>
      </w:r>
      <w:r>
        <w:rPr>
          <w:rFonts w:ascii="Gill Sans MT" w:hAnsi="Gill Sans MT"/>
          <w:i/>
          <w:sz w:val="24"/>
          <w:szCs w:val="24"/>
        </w:rPr>
        <w:t>Living in Informal Settlement Areas: Advantages and Disadvantages</w:t>
      </w:r>
      <w:r>
        <w:rPr>
          <w:rFonts w:ascii="Gill Sans MT" w:hAnsi="Gill Sans MT"/>
          <w:sz w:val="24"/>
          <w:szCs w:val="24"/>
        </w:rPr>
        <w:t xml:space="preserve">. </w:t>
      </w:r>
      <w:r>
        <w:rPr>
          <w:rFonts w:ascii="Gill Sans MT" w:hAnsi="Gill Sans MT"/>
          <w:sz w:val="24"/>
          <w:szCs w:val="24"/>
        </w:rPr>
        <w:tab/>
        <w:t>Cairo:</w:t>
      </w:r>
      <w:r>
        <w:rPr>
          <w:rFonts w:ascii="Gill Sans MT" w:hAnsi="Gill Sans MT"/>
          <w:sz w:val="24"/>
          <w:szCs w:val="24"/>
        </w:rPr>
        <w:t xml:space="preserve"> ShiakhatBoulaq-Al Dakrour.</w:t>
      </w:r>
    </w:p>
    <w:p w14:paraId="78D0485E"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Swapan, M. (2016). “Who participates and who doesn't? Adapting community participation </w:t>
      </w:r>
      <w:r>
        <w:rPr>
          <w:rFonts w:ascii="Gill Sans MT" w:hAnsi="Gill Sans MT"/>
          <w:sz w:val="24"/>
          <w:szCs w:val="24"/>
        </w:rPr>
        <w:tab/>
        <w:t xml:space="preserve">model for developing countries”. </w:t>
      </w:r>
      <w:r>
        <w:rPr>
          <w:rFonts w:ascii="Gill Sans MT" w:hAnsi="Gill Sans MT"/>
          <w:i/>
          <w:sz w:val="24"/>
          <w:szCs w:val="24"/>
        </w:rPr>
        <w:t>Cities</w:t>
      </w:r>
      <w:r>
        <w:rPr>
          <w:rFonts w:ascii="Gill Sans MT" w:hAnsi="Gill Sans MT"/>
          <w:sz w:val="24"/>
          <w:szCs w:val="24"/>
        </w:rPr>
        <w:t>, 53, 70-77.</w:t>
      </w:r>
    </w:p>
    <w:p w14:paraId="697544B8"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lastRenderedPageBreak/>
        <w:t xml:space="preserve">UN-Habitat. (2001). </w:t>
      </w:r>
      <w:r>
        <w:rPr>
          <w:rFonts w:ascii="Gill Sans MT" w:hAnsi="Gill Sans MT"/>
          <w:i/>
          <w:sz w:val="24"/>
          <w:szCs w:val="24"/>
        </w:rPr>
        <w:t>Cities in Globaling World: Global Report on Human Settlement</w:t>
      </w:r>
      <w:r>
        <w:rPr>
          <w:rFonts w:ascii="Gill Sans MT" w:hAnsi="Gill Sans MT"/>
          <w:sz w:val="24"/>
          <w:szCs w:val="24"/>
        </w:rPr>
        <w:t>. London</w:t>
      </w:r>
      <w:r>
        <w:rPr>
          <w:rFonts w:ascii="Gill Sans MT" w:hAnsi="Gill Sans MT"/>
          <w:sz w:val="24"/>
          <w:szCs w:val="24"/>
        </w:rPr>
        <w:t xml:space="preserve">: </w:t>
      </w:r>
      <w:r>
        <w:rPr>
          <w:rFonts w:ascii="Gill Sans MT" w:hAnsi="Gill Sans MT"/>
          <w:sz w:val="24"/>
          <w:szCs w:val="24"/>
        </w:rPr>
        <w:tab/>
        <w:t>Earthscan.</w:t>
      </w:r>
    </w:p>
    <w:p w14:paraId="52DA2960"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UN-Habitat. (2012). </w:t>
      </w:r>
      <w:r>
        <w:rPr>
          <w:rFonts w:ascii="Gill Sans MT" w:hAnsi="Gill Sans MT"/>
          <w:i/>
          <w:sz w:val="24"/>
          <w:szCs w:val="24"/>
        </w:rPr>
        <w:t xml:space="preserve">Streets as tools for urban transformation in slums: Streets led approach to city </w:t>
      </w:r>
      <w:r>
        <w:rPr>
          <w:rFonts w:ascii="Gill Sans MT" w:hAnsi="Gill Sans MT"/>
          <w:i/>
          <w:sz w:val="24"/>
          <w:szCs w:val="24"/>
        </w:rPr>
        <w:tab/>
        <w:t>side slum upgrading</w:t>
      </w:r>
      <w:r>
        <w:rPr>
          <w:rFonts w:ascii="Gill Sans MT" w:hAnsi="Gill Sans MT"/>
          <w:sz w:val="24"/>
          <w:szCs w:val="24"/>
        </w:rPr>
        <w:t>. Genever: UN-HABITAT.</w:t>
      </w:r>
    </w:p>
    <w:p w14:paraId="16721C3F"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 xml:space="preserve">Watson, V. (2009). “Seeing from the South: Refocusing Urban Planning on the Globe's Central </w:t>
      </w:r>
      <w:r>
        <w:rPr>
          <w:rFonts w:ascii="Gill Sans MT" w:hAnsi="Gill Sans MT"/>
          <w:sz w:val="24"/>
          <w:szCs w:val="24"/>
        </w:rPr>
        <w:tab/>
        <w:t>Urban</w:t>
      </w:r>
      <w:r>
        <w:rPr>
          <w:rFonts w:ascii="Gill Sans MT" w:hAnsi="Gill Sans MT"/>
          <w:sz w:val="24"/>
          <w:szCs w:val="24"/>
        </w:rPr>
        <w:t xml:space="preserve"> Issues”. </w:t>
      </w:r>
      <w:r>
        <w:rPr>
          <w:rFonts w:ascii="Gill Sans MT" w:hAnsi="Gill Sans MT"/>
          <w:i/>
          <w:sz w:val="24"/>
          <w:szCs w:val="24"/>
        </w:rPr>
        <w:t>Urban Studies</w:t>
      </w:r>
      <w:r>
        <w:rPr>
          <w:rFonts w:ascii="Gill Sans MT" w:hAnsi="Gill Sans MT"/>
          <w:sz w:val="24"/>
          <w:szCs w:val="24"/>
        </w:rPr>
        <w:t>, 46(11), 2259-2275. Retrieved from</w:t>
      </w:r>
    </w:p>
    <w:p w14:paraId="32B26498" w14:textId="77777777" w:rsidR="00E258FD" w:rsidRDefault="001372B9">
      <w:pPr>
        <w:spacing w:before="0" w:beforeAutospacing="0" w:after="0" w:line="360" w:lineRule="auto"/>
        <w:rPr>
          <w:rFonts w:ascii="Gill Sans MT" w:hAnsi="Gill Sans MT"/>
          <w:sz w:val="24"/>
          <w:szCs w:val="24"/>
        </w:rPr>
      </w:pPr>
      <w:r>
        <w:rPr>
          <w:rFonts w:ascii="Gill Sans MT" w:hAnsi="Gill Sans MT"/>
          <w:sz w:val="24"/>
          <w:szCs w:val="24"/>
        </w:rPr>
        <w:t>World Bank. (2015). Global Development Finance. London: Sage Publishers.</w:t>
      </w:r>
    </w:p>
    <w:p w14:paraId="00C9EE8B" w14:textId="77777777" w:rsidR="00E258FD" w:rsidRDefault="00E258FD">
      <w:pPr>
        <w:spacing w:before="0" w:beforeAutospacing="0" w:after="0" w:line="360" w:lineRule="auto"/>
        <w:rPr>
          <w:rFonts w:ascii="Gill Sans MT" w:hAnsi="Gill Sans MT"/>
          <w:sz w:val="24"/>
          <w:szCs w:val="24"/>
        </w:rPr>
      </w:pPr>
    </w:p>
    <w:p w14:paraId="5DD0FD5F" w14:textId="77777777" w:rsidR="00E258FD" w:rsidRDefault="00E258FD">
      <w:pPr>
        <w:spacing w:before="0" w:beforeAutospacing="0" w:after="0" w:line="360" w:lineRule="auto"/>
        <w:rPr>
          <w:rFonts w:ascii="Gill Sans MT" w:hAnsi="Gill Sans MT"/>
          <w:sz w:val="24"/>
          <w:szCs w:val="24"/>
        </w:rPr>
      </w:pPr>
    </w:p>
    <w:sectPr w:rsidR="00E258FD">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D18F9" w14:textId="77777777" w:rsidR="001372B9" w:rsidRDefault="001372B9">
      <w:pPr>
        <w:spacing w:before="0" w:after="0" w:line="240" w:lineRule="auto"/>
      </w:pPr>
      <w:r>
        <w:separator/>
      </w:r>
    </w:p>
  </w:endnote>
  <w:endnote w:type="continuationSeparator" w:id="0">
    <w:p w14:paraId="0EE09CE2" w14:textId="77777777" w:rsidR="001372B9" w:rsidRDefault="001372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35635" w14:textId="77777777" w:rsidR="00E258FD" w:rsidRDefault="001372B9">
    <w:pPr>
      <w:pStyle w:val="Footer"/>
      <w:jc w:val="right"/>
    </w:pPr>
    <w:r>
      <w:fldChar w:fldCharType="begin"/>
    </w:r>
    <w:r>
      <w:instrText xml:space="preserve"> PAGE   \* MERGEFORMAT </w:instrText>
    </w:r>
    <w:r>
      <w:fldChar w:fldCharType="separate"/>
    </w:r>
    <w:r>
      <w:rPr>
        <w:noProof/>
      </w:rPr>
      <w:t>v</w:t>
    </w:r>
    <w:r>
      <w:rPr>
        <w:noProof/>
      </w:rPr>
      <w:fldChar w:fldCharType="end"/>
    </w:r>
  </w:p>
  <w:p w14:paraId="587F189A" w14:textId="77777777" w:rsidR="00E258FD" w:rsidRDefault="00E25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EAD16" w14:textId="77777777" w:rsidR="001372B9" w:rsidRDefault="001372B9">
      <w:pPr>
        <w:spacing w:before="0" w:after="0" w:line="240" w:lineRule="auto"/>
      </w:pPr>
      <w:r>
        <w:separator/>
      </w:r>
    </w:p>
  </w:footnote>
  <w:footnote w:type="continuationSeparator" w:id="0">
    <w:p w14:paraId="576E5D49" w14:textId="77777777" w:rsidR="001372B9" w:rsidRDefault="001372B9">
      <w:pPr>
        <w:spacing w:before="0" w:after="0" w:line="240" w:lineRule="auto"/>
      </w:pPr>
      <w:r>
        <w:continuationSeparator/>
      </w:r>
    </w:p>
  </w:footnote>
  <w:footnote w:id="1">
    <w:p w14:paraId="75CCD6D2"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Kempe, R. (2019). “Urbanization in Kenya”. </w:t>
      </w:r>
      <w:r>
        <w:rPr>
          <w:rFonts w:ascii="Gill Sans MT" w:hAnsi="Gill Sans MT"/>
          <w:i/>
        </w:rPr>
        <w:t>African J. Economic and Sustainable Development</w:t>
      </w:r>
      <w:r>
        <w:rPr>
          <w:rFonts w:ascii="Gill Sans MT" w:hAnsi="Gill Sans MT"/>
        </w:rPr>
        <w:t xml:space="preserve">, 1(1): 1-20. Retrieved </w:t>
      </w:r>
      <w:r>
        <w:rPr>
          <w:rFonts w:ascii="Gill Sans MT" w:hAnsi="Gill Sans MT"/>
        </w:rPr>
        <w:tab/>
        <w:t xml:space="preserve">from </w:t>
      </w:r>
      <w:hyperlink r:id="rId1" w:history="1">
        <w:r>
          <w:rPr>
            <w:rStyle w:val="Hyperlink"/>
            <w:rFonts w:ascii="Gill Sans MT" w:hAnsi="Gill Sans MT"/>
          </w:rPr>
          <w:t>https://www.researchgate.net/publication/262855415_Urbanization_in_Kenya</w:t>
        </w:r>
      </w:hyperlink>
      <w:r>
        <w:rPr>
          <w:rFonts w:ascii="Gill Sans MT" w:hAnsi="Gill Sans MT"/>
        </w:rPr>
        <w:t xml:space="preserve"> </w:t>
      </w:r>
    </w:p>
  </w:footnote>
  <w:footnote w:id="2">
    <w:p w14:paraId="4E5A2914" w14:textId="77777777" w:rsidR="00E258FD" w:rsidRDefault="001372B9">
      <w:pPr>
        <w:pStyle w:val="FootnoteText"/>
        <w:spacing w:beforeAutospacing="0"/>
        <w:rPr>
          <w:rFonts w:ascii="Gill Sans MT" w:hAnsi="Gill Sans MT"/>
        </w:rPr>
      </w:pPr>
      <w:r>
        <w:rPr>
          <w:rFonts w:ascii="Gill Sans MT" w:hAnsi="Gill Sans MT"/>
        </w:rPr>
        <w:footnoteRef/>
      </w:r>
      <w:r>
        <w:rPr>
          <w:rFonts w:ascii="Gill Sans MT" w:hAnsi="Gill Sans MT"/>
        </w:rPr>
        <w:t xml:space="preserve"> Ouma, S. (2011). “The Slum-Shacks Question and the Making of </w:t>
      </w:r>
      <w:r>
        <w:rPr>
          <w:rFonts w:ascii="Gill Sans MT" w:hAnsi="Gill Sans MT"/>
        </w:rPr>
        <w:t xml:space="preserve">21st Century Political Citizenship in Postcolonial </w:t>
      </w:r>
      <w:r>
        <w:rPr>
          <w:rFonts w:ascii="Gill Sans MT" w:hAnsi="Gill Sans MT"/>
        </w:rPr>
        <w:tab/>
        <w:t xml:space="preserve">Nairobi, Kenya and Harare, Zimbabwe”, </w:t>
      </w:r>
      <w:r>
        <w:rPr>
          <w:rFonts w:ascii="Gill Sans MT" w:hAnsi="Gill Sans MT"/>
          <w:i/>
        </w:rPr>
        <w:t>Les Cahiers d’Afrique de l’Est / The East African</w:t>
      </w:r>
      <w:r>
        <w:rPr>
          <w:rFonts w:ascii="Gill Sans MT" w:hAnsi="Gill Sans MT"/>
        </w:rPr>
        <w:t xml:space="preserve"> [Online], 44 | 2011, </w:t>
      </w:r>
      <w:r>
        <w:rPr>
          <w:rFonts w:ascii="Gill Sans MT" w:hAnsi="Gill Sans MT"/>
        </w:rPr>
        <w:tab/>
        <w:t xml:space="preserve">Retrieved from </w:t>
      </w:r>
      <w:hyperlink r:id="rId2" w:history="1">
        <w:r>
          <w:rPr>
            <w:rStyle w:val="Hyperlink"/>
            <w:rFonts w:ascii="Gill Sans MT" w:hAnsi="Gill Sans MT"/>
          </w:rPr>
          <w:t>http://journals.</w:t>
        </w:r>
        <w:r>
          <w:rPr>
            <w:rStyle w:val="Hyperlink"/>
            <w:rFonts w:ascii="Gill Sans MT" w:hAnsi="Gill Sans MT"/>
          </w:rPr>
          <w:t>openedition.org/eastafrica/524</w:t>
        </w:r>
      </w:hyperlink>
      <w:r>
        <w:rPr>
          <w:rFonts w:ascii="Gill Sans MT" w:hAnsi="Gill Sans MT"/>
        </w:rPr>
        <w:t xml:space="preserve"> </w:t>
      </w:r>
    </w:p>
  </w:footnote>
  <w:footnote w:id="3">
    <w:p w14:paraId="73E6C897"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i/>
        </w:rPr>
        <w:t>Ibid, p. 6</w:t>
      </w:r>
    </w:p>
  </w:footnote>
  <w:footnote w:id="4">
    <w:p w14:paraId="77AA515F"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Kempe, R. (2019). “Urbanization in Kenya”. </w:t>
      </w:r>
      <w:r>
        <w:rPr>
          <w:rFonts w:ascii="Gill Sans MT" w:hAnsi="Gill Sans MT"/>
          <w:i/>
        </w:rPr>
        <w:t>African J. Economic and Sustainable Development</w:t>
      </w:r>
      <w:r>
        <w:rPr>
          <w:rFonts w:ascii="Gill Sans MT" w:hAnsi="Gill Sans MT"/>
        </w:rPr>
        <w:t xml:space="preserve">, 1(1): 1-20. Retrieved </w:t>
      </w:r>
      <w:r>
        <w:rPr>
          <w:rFonts w:ascii="Gill Sans MT" w:hAnsi="Gill Sans MT"/>
        </w:rPr>
        <w:tab/>
        <w:t xml:space="preserve">from </w:t>
      </w:r>
      <w:hyperlink r:id="rId3" w:history="1">
        <w:r>
          <w:rPr>
            <w:rStyle w:val="Hyperlink"/>
            <w:rFonts w:ascii="Gill Sans MT" w:hAnsi="Gill Sans MT"/>
          </w:rPr>
          <w:t>https://www.researchgate.net/publication/262855415_Urbanization_in_Kenya</w:t>
        </w:r>
      </w:hyperlink>
    </w:p>
  </w:footnote>
  <w:footnote w:id="5">
    <w:p w14:paraId="5C00A7EA" w14:textId="77777777" w:rsidR="00E258FD" w:rsidRDefault="001372B9">
      <w:pPr>
        <w:pStyle w:val="FootnoteText"/>
        <w:spacing w:beforeAutospacing="0"/>
        <w:rPr>
          <w:rFonts w:ascii="Gill Sans MT" w:hAnsi="Gill Sans MT"/>
        </w:rPr>
      </w:pPr>
      <w:r>
        <w:rPr>
          <w:rFonts w:ascii="Gill Sans MT" w:hAnsi="Gill Sans MT"/>
        </w:rPr>
        <w:footnoteRef/>
      </w:r>
      <w:r>
        <w:rPr>
          <w:rFonts w:ascii="Gill Sans MT" w:hAnsi="Gill Sans MT"/>
        </w:rPr>
        <w:t xml:space="preserve"> Lines, K. &amp; Makau, J. (2018). “Taking the long view: 20 years of Muungano wa Wanavijiji, the Kenyan </w:t>
      </w:r>
      <w:r>
        <w:rPr>
          <w:rFonts w:ascii="Gill Sans MT" w:hAnsi="Gill Sans MT"/>
        </w:rPr>
        <w:tab/>
      </w:r>
      <w:r>
        <w:rPr>
          <w:rFonts w:ascii="Gill Sans MT" w:hAnsi="Gill Sans MT"/>
        </w:rPr>
        <w:tab/>
        <w:t xml:space="preserve">federation of slum dwellers” </w:t>
      </w:r>
      <w:r>
        <w:rPr>
          <w:rFonts w:ascii="Gill Sans MT" w:hAnsi="Gill Sans MT"/>
          <w:i/>
        </w:rPr>
        <w:t>International Institute for Environment and Develo</w:t>
      </w:r>
      <w:r>
        <w:rPr>
          <w:rFonts w:ascii="Gill Sans MT" w:hAnsi="Gill Sans MT"/>
          <w:i/>
        </w:rPr>
        <w:t>pment,</w:t>
      </w:r>
      <w:r>
        <w:rPr>
          <w:rFonts w:ascii="Gill Sans MT" w:hAnsi="Gill Sans MT"/>
        </w:rPr>
        <w:t xml:space="preserve"> (IIED), vol 30(2): 410.</w:t>
      </w:r>
      <w:r>
        <w:rPr>
          <w:rFonts w:ascii="Gill Sans MT" w:hAnsi="Gill Sans MT"/>
          <w:lang w:eastAsia="zh-CN"/>
        </w:rPr>
        <w:t xml:space="preserve"> </w:t>
      </w:r>
    </w:p>
  </w:footnote>
  <w:footnote w:id="6">
    <w:p w14:paraId="2036A655"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bCs/>
          <w:lang w:eastAsia="zh-CN"/>
        </w:rPr>
        <w:t>Huruma Upgrading  Process Report, 2002</w:t>
      </w:r>
    </w:p>
  </w:footnote>
  <w:footnote w:id="7">
    <w:p w14:paraId="6B97DB0D"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bCs/>
          <w:lang w:eastAsia="zh-CN"/>
        </w:rPr>
        <w:t>Big-Four-Agenda-Report 2018/19</w:t>
      </w:r>
    </w:p>
  </w:footnote>
  <w:footnote w:id="8">
    <w:p w14:paraId="3BBB6933"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Gikonyo, M. (2012). An Investigation into the challenges facing Implementation of slum Upgrading Programmes in </w:t>
      </w:r>
      <w:r>
        <w:rPr>
          <w:rFonts w:ascii="Gill Sans MT" w:hAnsi="Gill Sans MT"/>
        </w:rPr>
        <w:tab/>
        <w:t>Kenya: A Case Study of Manyatta, Kis</w:t>
      </w:r>
      <w:r>
        <w:rPr>
          <w:rFonts w:ascii="Gill Sans MT" w:hAnsi="Gill Sans MT"/>
        </w:rPr>
        <w:t>umu County. [</w:t>
      </w:r>
      <w:r>
        <w:rPr>
          <w:rFonts w:ascii="Gill Sans MT" w:hAnsi="Gill Sans MT"/>
          <w:i/>
        </w:rPr>
        <w:t>Post Graduate Diploma, Nairobi University</w:t>
      </w:r>
      <w:r>
        <w:rPr>
          <w:rFonts w:ascii="Gill Sans MT" w:hAnsi="Gill Sans MT"/>
        </w:rPr>
        <w:t xml:space="preserve">]. </w:t>
      </w:r>
      <w:r>
        <w:rPr>
          <w:rFonts w:ascii="Gill Sans MT" w:hAnsi="Gill Sans MT"/>
        </w:rPr>
        <w:tab/>
        <w:t xml:space="preserve">Retrieved from </w:t>
      </w:r>
      <w:hyperlink r:id="rId4" w:history="1">
        <w:r>
          <w:rPr>
            <w:rStyle w:val="Hyperlink"/>
            <w:rFonts w:ascii="Gill Sans MT" w:hAnsi="Gill Sans MT"/>
          </w:rPr>
          <w:t>http://erepository.uonbi.ac.ke/handle/11295/90750</w:t>
        </w:r>
      </w:hyperlink>
    </w:p>
  </w:footnote>
  <w:footnote w:id="9">
    <w:p w14:paraId="1FBF9D86"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Gikonyo, M. (2012). An Investigation into the challenges facing Implementation of slum Upgrading Programmes in </w:t>
      </w:r>
      <w:r>
        <w:rPr>
          <w:rFonts w:ascii="Gill Sans MT" w:hAnsi="Gill Sans MT"/>
        </w:rPr>
        <w:tab/>
        <w:t>Kenya: A Case Study of Manyatta, Kisumu County. [</w:t>
      </w:r>
      <w:r>
        <w:rPr>
          <w:rFonts w:ascii="Gill Sans MT" w:hAnsi="Gill Sans MT"/>
          <w:i/>
        </w:rPr>
        <w:t>Post Graduate Diploma, Nairobi University</w:t>
      </w:r>
      <w:r>
        <w:rPr>
          <w:rFonts w:ascii="Gill Sans MT" w:hAnsi="Gill Sans MT"/>
        </w:rPr>
        <w:t xml:space="preserve">]. </w:t>
      </w:r>
      <w:r>
        <w:rPr>
          <w:rFonts w:ascii="Gill Sans MT" w:hAnsi="Gill Sans MT"/>
        </w:rPr>
        <w:tab/>
        <w:t xml:space="preserve">Retrieved from </w:t>
      </w:r>
      <w:hyperlink r:id="rId5" w:history="1">
        <w:r>
          <w:rPr>
            <w:rStyle w:val="Hyperlink"/>
            <w:rFonts w:ascii="Gill Sans MT" w:hAnsi="Gill Sans MT"/>
          </w:rPr>
          <w:t>http://erepository.uonbi.ac.ke/handle/11295/90750</w:t>
        </w:r>
      </w:hyperlink>
    </w:p>
  </w:footnote>
  <w:footnote w:id="10">
    <w:p w14:paraId="150AE8E9"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Obare, M. (2020). </w:t>
      </w:r>
      <w:r>
        <w:rPr>
          <w:rFonts w:ascii="Gill Sans MT" w:hAnsi="Gill Sans MT"/>
          <w:i/>
        </w:rPr>
        <w:t>An Evaluation of Slum Upgrading Schemes in Nairobi County: The Case of Kibera Slums</w:t>
      </w:r>
      <w:r>
        <w:rPr>
          <w:rFonts w:ascii="Gill Sans MT" w:hAnsi="Gill Sans MT"/>
        </w:rPr>
        <w:t xml:space="preserve">. </w:t>
      </w:r>
      <w:r>
        <w:rPr>
          <w:rFonts w:ascii="Gill Sans MT" w:hAnsi="Gill Sans MT"/>
        </w:rPr>
        <w:tab/>
        <w:t xml:space="preserve">[Bachelor's Degree, Nairobi University]. Retrieved from </w:t>
      </w:r>
      <w:r>
        <w:rPr>
          <w:rFonts w:ascii="Gill Sans MT" w:hAnsi="Gill Sans MT"/>
        </w:rPr>
        <w:tab/>
      </w:r>
      <w:hyperlink r:id="rId6" w:history="1">
        <w:r>
          <w:rPr>
            <w:rStyle w:val="Hyperlink"/>
            <w:rFonts w:ascii="Gill Sans MT" w:hAnsi="Gill Sans MT"/>
          </w:rPr>
          <w:t>https://www.researchgate.net/publication/339069141_AN_EVALUATION_OF_SLUM_UPGRADING_SC</w:t>
        </w:r>
        <w:r>
          <w:rPr>
            <w:rStyle w:val="Hyperlink"/>
            <w:rFonts w:ascii="Gill Sans MT" w:hAnsi="Gill Sans MT"/>
          </w:rPr>
          <w:tab/>
          <w:t>HEMES_IN_NAIROBI_COUNTY_THE_CASE_OF_KIBERA_SLUMS_A_Research_Project_Report_Sub</w:t>
        </w:r>
        <w:r>
          <w:rPr>
            <w:rStyle w:val="Hyperlink"/>
            <w:rFonts w:ascii="Gill Sans MT" w:hAnsi="Gill Sans MT"/>
          </w:rPr>
          <w:tab/>
          <w:t>mitted_in_Partial_Fulfillment_for_the_Requirements_For_the_Degree_of_Bachelor_of_Env</w:t>
        </w:r>
        <w:r>
          <w:rPr>
            <w:rStyle w:val="Hyperlink"/>
            <w:rFonts w:ascii="Gill Sans MT" w:hAnsi="Gill Sans MT"/>
          </w:rPr>
          <w:t>iron</w:t>
        </w:r>
      </w:hyperlink>
      <w:r>
        <w:rPr>
          <w:rFonts w:ascii="Gill Sans MT" w:hAnsi="Gill Sans MT"/>
        </w:rPr>
        <w:t xml:space="preserve">  </w:t>
      </w:r>
    </w:p>
  </w:footnote>
  <w:footnote w:id="11">
    <w:p w14:paraId="5E95F435"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Amnesty International (2009). </w:t>
      </w:r>
      <w:r>
        <w:rPr>
          <w:rFonts w:ascii="Gill Sans MT" w:hAnsi="Gill Sans MT"/>
          <w:i/>
        </w:rPr>
        <w:t>Kenya: The Unseen Majority: Nairobi's two million slum-dwellers</w:t>
      </w:r>
      <w:r>
        <w:rPr>
          <w:rFonts w:ascii="Gill Sans MT" w:hAnsi="Gill Sans MT"/>
        </w:rPr>
        <w:t xml:space="preserve">. London: Amnesty </w:t>
      </w:r>
      <w:r>
        <w:rPr>
          <w:rFonts w:ascii="Gill Sans MT" w:hAnsi="Gill Sans MT"/>
        </w:rPr>
        <w:tab/>
        <w:t xml:space="preserve">International. Retrieved from </w:t>
      </w:r>
      <w:hyperlink r:id="rId7" w:history="1">
        <w:r>
          <w:rPr>
            <w:rStyle w:val="Hyperlink"/>
            <w:rFonts w:ascii="Gill Sans MT" w:hAnsi="Gill Sans MT"/>
          </w:rPr>
          <w:t>https://www.</w:t>
        </w:r>
        <w:r>
          <w:rPr>
            <w:rStyle w:val="Hyperlink"/>
            <w:rFonts w:ascii="Gill Sans MT" w:hAnsi="Gill Sans MT"/>
          </w:rPr>
          <w:t>amnesty.org/en/wp-</w:t>
        </w:r>
        <w:r>
          <w:rPr>
            <w:rStyle w:val="Hyperlink"/>
            <w:rFonts w:ascii="Gill Sans MT" w:hAnsi="Gill Sans MT"/>
          </w:rPr>
          <w:tab/>
          <w:t>content/uploads/2021/06/afr320052009eng.pdf</w:t>
        </w:r>
      </w:hyperlink>
      <w:r>
        <w:rPr>
          <w:rFonts w:ascii="Gill Sans MT" w:hAnsi="Gill Sans MT"/>
        </w:rPr>
        <w:t xml:space="preserve"> </w:t>
      </w:r>
    </w:p>
  </w:footnote>
  <w:footnote w:id="12">
    <w:p w14:paraId="39C66C9F"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Ndukui, E. (2012). </w:t>
      </w:r>
      <w:r>
        <w:rPr>
          <w:rFonts w:ascii="Gill Sans MT" w:hAnsi="Gill Sans MT"/>
          <w:i/>
        </w:rPr>
        <w:t xml:space="preserve">Challenges of slum upgrading for urban informal settlements; case of Soweto East village in </w:t>
      </w:r>
      <w:r>
        <w:rPr>
          <w:rFonts w:ascii="Gill Sans MT" w:hAnsi="Gill Sans MT"/>
          <w:i/>
        </w:rPr>
        <w:tab/>
        <w:t xml:space="preserve">kibera </w:t>
      </w:r>
      <w:r>
        <w:rPr>
          <w:rFonts w:ascii="Gill Sans MT" w:hAnsi="Gill Sans MT"/>
          <w:i/>
        </w:rPr>
        <w:tab/>
        <w:t>informal settlements, city of Nairobi</w:t>
      </w:r>
      <w:r>
        <w:rPr>
          <w:rFonts w:ascii="Gill Sans MT" w:hAnsi="Gill Sans MT"/>
        </w:rPr>
        <w:t>. Nairobi: Ukweli Publishers,  p.</w:t>
      </w:r>
      <w:r>
        <w:rPr>
          <w:rFonts w:ascii="Gill Sans MT" w:hAnsi="Gill Sans MT"/>
        </w:rPr>
        <w:t xml:space="preserve"> 32.</w:t>
      </w:r>
    </w:p>
  </w:footnote>
  <w:footnote w:id="13">
    <w:p w14:paraId="0C41E1A9" w14:textId="77777777" w:rsidR="00E258FD" w:rsidRDefault="001372B9">
      <w:pPr>
        <w:pStyle w:val="FootnoteText"/>
        <w:spacing w:beforeAutospacing="0"/>
        <w:rPr>
          <w:rFonts w:ascii="Gill Sans MT" w:hAnsi="Gill Sans MT"/>
        </w:rPr>
      </w:pPr>
      <w:r>
        <w:rPr>
          <w:rFonts w:ascii="Gill Sans MT" w:hAnsi="Gill Sans MT"/>
        </w:rPr>
        <w:footnoteRef/>
      </w:r>
      <w:r>
        <w:rPr>
          <w:rFonts w:ascii="Gill Sans MT" w:hAnsi="Gill Sans MT"/>
        </w:rPr>
        <w:t xml:space="preserve"> Plessis, J. (2015). “The Growing Problem of Forced Evictions and the Crucial Importance of Community-</w:t>
      </w:r>
      <w:r>
        <w:rPr>
          <w:rFonts w:ascii="Gill Sans MT" w:hAnsi="Gill Sans MT"/>
        </w:rPr>
        <w:tab/>
        <w:t xml:space="preserve">Based, Locally Appropriate Alternatives”. </w:t>
      </w:r>
      <w:r>
        <w:rPr>
          <w:rFonts w:ascii="Gill Sans MT" w:hAnsi="Gill Sans MT"/>
          <w:i/>
        </w:rPr>
        <w:t>Environment and Urbanization - Environ Urban</w:t>
      </w:r>
      <w:r>
        <w:rPr>
          <w:rFonts w:ascii="Gill Sans MT" w:hAnsi="Gill Sans MT"/>
        </w:rPr>
        <w:t>, 17: 126.</w:t>
      </w:r>
    </w:p>
  </w:footnote>
  <w:footnote w:id="14">
    <w:p w14:paraId="567AD853"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Obare, M. (2020). </w:t>
      </w:r>
      <w:r>
        <w:rPr>
          <w:rFonts w:ascii="Gill Sans MT" w:hAnsi="Gill Sans MT"/>
          <w:i/>
        </w:rPr>
        <w:t>An Evaluation of Slum Upgradin</w:t>
      </w:r>
      <w:r>
        <w:rPr>
          <w:rFonts w:ascii="Gill Sans MT" w:hAnsi="Gill Sans MT"/>
          <w:i/>
        </w:rPr>
        <w:t>g Schemes in Nairobi County: The Case of Kibera Slums</w:t>
      </w:r>
      <w:r>
        <w:rPr>
          <w:rFonts w:ascii="Gill Sans MT" w:hAnsi="Gill Sans MT"/>
        </w:rPr>
        <w:t xml:space="preserve">. </w:t>
      </w:r>
      <w:r>
        <w:rPr>
          <w:rFonts w:ascii="Gill Sans MT" w:hAnsi="Gill Sans MT"/>
        </w:rPr>
        <w:tab/>
        <w:t xml:space="preserve">[Bachelor's Degree, Nairobi University]. Retrieved from </w:t>
      </w:r>
      <w:r>
        <w:rPr>
          <w:rFonts w:ascii="Gill Sans MT" w:hAnsi="Gill Sans MT"/>
        </w:rPr>
        <w:tab/>
      </w:r>
      <w:hyperlink r:id="rId8" w:history="1">
        <w:r>
          <w:rPr>
            <w:rStyle w:val="Hyperlink"/>
            <w:rFonts w:ascii="Gill Sans MT" w:hAnsi="Gill Sans MT"/>
          </w:rPr>
          <w:t>https://www.researchgate.net/publication/339069141_AN_EVALUATION_OF_SLUM_UPGRADING_SC</w:t>
        </w:r>
        <w:r>
          <w:rPr>
            <w:rStyle w:val="Hyperlink"/>
            <w:rFonts w:ascii="Gill Sans MT" w:hAnsi="Gill Sans MT"/>
          </w:rPr>
          <w:tab/>
          <w:t>HEMES_IN_NAIROBI_COUNTY_THE_CASE_OF_KIB</w:t>
        </w:r>
        <w:r>
          <w:rPr>
            <w:rStyle w:val="Hyperlink"/>
            <w:rFonts w:ascii="Gill Sans MT" w:hAnsi="Gill Sans MT"/>
          </w:rPr>
          <w:t>ERA_SLUMS_A_Research_Project_Report_Sub</w:t>
        </w:r>
        <w:r>
          <w:rPr>
            <w:rStyle w:val="Hyperlink"/>
            <w:rFonts w:ascii="Gill Sans MT" w:hAnsi="Gill Sans MT"/>
          </w:rPr>
          <w:tab/>
          <w:t>mitted_in_Partial_Fulfillment_for_the_Requirements_For_the_Degree_of_Bachelor_of_Environ</w:t>
        </w:r>
      </w:hyperlink>
    </w:p>
  </w:footnote>
  <w:footnote w:id="15">
    <w:p w14:paraId="41C9D061" w14:textId="77777777" w:rsidR="00E258FD" w:rsidRDefault="001372B9">
      <w:pPr>
        <w:spacing w:before="0" w:beforeAutospacing="0" w:after="0" w:line="240" w:lineRule="auto"/>
        <w:rPr>
          <w:rFonts w:ascii="Gill Sans MT" w:hAnsi="Gill Sans MT"/>
          <w:sz w:val="20"/>
          <w:szCs w:val="20"/>
        </w:rPr>
      </w:pPr>
      <w:r>
        <w:rPr>
          <w:rStyle w:val="FootnoteReference"/>
          <w:rFonts w:ascii="Gill Sans MT" w:hAnsi="Gill Sans MT"/>
          <w:sz w:val="20"/>
          <w:szCs w:val="20"/>
        </w:rPr>
        <w:footnoteRef/>
      </w:r>
      <w:r>
        <w:rPr>
          <w:rFonts w:ascii="Gill Sans MT" w:hAnsi="Gill Sans MT"/>
          <w:sz w:val="20"/>
          <w:szCs w:val="20"/>
        </w:rPr>
        <w:t xml:space="preserve"> Mutero, J. &amp; Chege, M. (2019). </w:t>
      </w:r>
      <w:r>
        <w:rPr>
          <w:rFonts w:ascii="Gill Sans MT" w:hAnsi="Gill Sans MT"/>
          <w:i/>
          <w:sz w:val="20"/>
          <w:szCs w:val="20"/>
        </w:rPr>
        <w:t xml:space="preserve">Bridging the affordability Gap: Towards a financing mechanism for </w:t>
      </w:r>
      <w:r>
        <w:rPr>
          <w:rFonts w:ascii="Gill Sans MT" w:hAnsi="Gill Sans MT"/>
          <w:i/>
          <w:sz w:val="20"/>
          <w:szCs w:val="20"/>
        </w:rPr>
        <w:tab/>
        <w:t xml:space="preserve">slum upgrading at </w:t>
      </w:r>
      <w:r>
        <w:rPr>
          <w:rFonts w:ascii="Gill Sans MT" w:hAnsi="Gill Sans MT"/>
          <w:i/>
          <w:sz w:val="20"/>
          <w:szCs w:val="20"/>
        </w:rPr>
        <w:tab/>
        <w:t>scale in</w:t>
      </w:r>
      <w:r>
        <w:rPr>
          <w:rFonts w:ascii="Gill Sans MT" w:hAnsi="Gill Sans MT"/>
          <w:i/>
          <w:sz w:val="20"/>
          <w:szCs w:val="20"/>
        </w:rPr>
        <w:t xml:space="preserve"> Nairobi</w:t>
      </w:r>
      <w:r>
        <w:rPr>
          <w:rFonts w:ascii="Gill Sans MT" w:hAnsi="Gill Sans MT"/>
          <w:sz w:val="20"/>
          <w:szCs w:val="20"/>
        </w:rPr>
        <w:t>. Nairobi: UN Habitat.</w:t>
      </w:r>
    </w:p>
  </w:footnote>
  <w:footnote w:id="16">
    <w:p w14:paraId="764BE61D"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Ibid, p. 44</w:t>
      </w:r>
    </w:p>
  </w:footnote>
  <w:footnote w:id="17">
    <w:p w14:paraId="58C7CE4F"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Judgment case in </w:t>
      </w:r>
      <w:r>
        <w:rPr>
          <w:rFonts w:ascii="Gill Sans MT" w:hAnsi="Gill Sans MT"/>
          <w:bCs/>
          <w:i/>
        </w:rPr>
        <w:t>Mitu-Bell Welfare Society</w:t>
      </w:r>
      <w:r>
        <w:rPr>
          <w:rFonts w:ascii="Gill Sans MT" w:hAnsi="Gill Sans MT"/>
          <w:bCs/>
        </w:rPr>
        <w:t xml:space="preserve"> </w:t>
      </w:r>
      <w:r>
        <w:rPr>
          <w:rFonts w:ascii="Gill Sans MT" w:hAnsi="Gill Sans MT"/>
          <w:bCs/>
          <w:i/>
        </w:rPr>
        <w:t>v The Kenya Airports Authority and 2 others retrieved from</w:t>
      </w:r>
      <w:r>
        <w:rPr>
          <w:rFonts w:ascii="Gill Sans MT" w:hAnsi="Gill Sans MT"/>
        </w:rPr>
        <w:t xml:space="preserve"> </w:t>
      </w:r>
      <w:r>
        <w:rPr>
          <w:rFonts w:ascii="Gill Sans MT" w:hAnsi="Gill Sans MT"/>
        </w:rPr>
        <w:tab/>
      </w:r>
      <w:hyperlink r:id="rId9" w:history="1">
        <w:r>
          <w:rPr>
            <w:rStyle w:val="Hyperlink"/>
            <w:rFonts w:ascii="Gill Sans MT" w:hAnsi="Gill Sans MT"/>
            <w:bCs/>
            <w:i/>
          </w:rPr>
          <w:t>https://www.kelinkenya.org/wp-content/uploads/2021/01/Judgmment-Mitubell.pdf</w:t>
        </w:r>
      </w:hyperlink>
      <w:r>
        <w:rPr>
          <w:rFonts w:ascii="Gill Sans MT" w:hAnsi="Gill Sans MT"/>
          <w:bCs/>
          <w:i/>
        </w:rPr>
        <w:t xml:space="preserve"> </w:t>
      </w:r>
    </w:p>
  </w:footnote>
  <w:footnote w:id="18">
    <w:p w14:paraId="04429C92"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Satros Ayuma and Others v Kenya Railways Corporation and Others, Nairobi High Court P</w:t>
      </w:r>
      <w:r>
        <w:rPr>
          <w:rFonts w:ascii="Gill Sans MT" w:hAnsi="Gill Sans MT"/>
        </w:rPr>
        <w:t xml:space="preserve">etition No 65 of 2010 Retrieved from </w:t>
      </w:r>
      <w:hyperlink r:id="rId10" w:anchor=":~:text=Satrose%20Ayuma%2C%20the%201st%20Petitioner,longer%20accepting%20rent%20deposits%20on" w:history="1">
        <w:r>
          <w:rPr>
            <w:rStyle w:val="Hyperlink"/>
            <w:rFonts w:ascii="Gill Sans MT" w:hAnsi="Gill Sans MT"/>
          </w:rPr>
          <w:t>http://kenyalaw.org/caselaw/cases/view/90359/#:~:text=Satr</w:t>
        </w:r>
        <w:r>
          <w:rPr>
            <w:rStyle w:val="Hyperlink"/>
            <w:rFonts w:ascii="Gill Sans MT" w:hAnsi="Gill Sans MT"/>
          </w:rPr>
          <w:t>ose%20Ayuma%2C%20the%201st%20Petitioner,longer%20accepting%20rent%20deposits%20on</w:t>
        </w:r>
      </w:hyperlink>
      <w:r>
        <w:rPr>
          <w:rFonts w:ascii="Gill Sans MT" w:hAnsi="Gill Sans MT"/>
        </w:rPr>
        <w:t xml:space="preserve"> </w:t>
      </w:r>
    </w:p>
  </w:footnote>
  <w:footnote w:id="19">
    <w:p w14:paraId="0A7D47C9"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Muraguri, L. (2017). </w:t>
      </w:r>
      <w:r>
        <w:rPr>
          <w:rFonts w:ascii="Gill Sans MT" w:hAnsi="Gill Sans MT"/>
          <w:i/>
        </w:rPr>
        <w:t>Kenya Government initiatives in Slum Upgrading</w:t>
      </w:r>
      <w:r>
        <w:rPr>
          <w:rFonts w:ascii="Gill Sans MT" w:hAnsi="Gill Sans MT"/>
        </w:rPr>
        <w:t>. Nairobi, Kenya.</w:t>
      </w:r>
    </w:p>
  </w:footnote>
  <w:footnote w:id="20">
    <w:p w14:paraId="0337AD16"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i/>
        </w:rPr>
        <w:t>Ibid, p. 32</w:t>
      </w:r>
    </w:p>
  </w:footnote>
  <w:footnote w:id="21">
    <w:p w14:paraId="09F7C7EA"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Candiracci, S. &amp; Syrjanen, R. (2007). UN-HABITAT and the Kenya Slum Up</w:t>
      </w:r>
      <w:r>
        <w:rPr>
          <w:rFonts w:ascii="Gill Sans MT" w:hAnsi="Gill Sans MT"/>
        </w:rPr>
        <w:t xml:space="preserve">grading Programme. Nairobi: United </w:t>
      </w:r>
      <w:r>
        <w:rPr>
          <w:rFonts w:ascii="Gill Sans MT" w:hAnsi="Gill Sans MT"/>
        </w:rPr>
        <w:tab/>
        <w:t xml:space="preserve">Nations Human Settlement Program (UN-HABITAT). Retrieved from </w:t>
      </w:r>
      <w:r>
        <w:rPr>
          <w:rFonts w:ascii="Gill Sans MT" w:hAnsi="Gill Sans MT"/>
        </w:rPr>
        <w:tab/>
      </w:r>
      <w:hyperlink r:id="rId11" w:history="1">
        <w:r>
          <w:rPr>
            <w:rStyle w:val="Hyperlink"/>
            <w:rFonts w:ascii="Gill Sans MT" w:hAnsi="Gill Sans MT"/>
          </w:rPr>
          <w:t>https://unhabitat.org/sites/default/files/download-manager-files/UN-</w:t>
        </w:r>
        <w:r>
          <w:rPr>
            <w:rStyle w:val="Hyperlink"/>
            <w:rFonts w:ascii="Gill Sans MT" w:hAnsi="Gill Sans MT"/>
          </w:rPr>
          <w:tab/>
          <w:t>HABITAT%20and%20Kenya%20Slum%20Upgrading%20Programme%20%28KENSUP%29.pdf</w:t>
        </w:r>
      </w:hyperlink>
      <w:r>
        <w:rPr>
          <w:rFonts w:ascii="Gill Sans MT" w:hAnsi="Gill Sans MT"/>
        </w:rPr>
        <w:t xml:space="preserve"> </w:t>
      </w:r>
    </w:p>
  </w:footnote>
  <w:footnote w:id="22">
    <w:p w14:paraId="01BD01DA"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i/>
        </w:rPr>
        <w:t>Ibid, p. 11-12</w:t>
      </w:r>
    </w:p>
  </w:footnote>
  <w:footnote w:id="23">
    <w:p w14:paraId="4AFCC840"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Sasggerson, E. (2018). </w:t>
      </w:r>
      <w:r>
        <w:rPr>
          <w:rFonts w:ascii="Gill Sans MT" w:hAnsi="Gill Sans MT"/>
          <w:i/>
        </w:rPr>
        <w:t>Geology of Nairobi area: Degree sheet 51</w:t>
      </w:r>
      <w:r>
        <w:rPr>
          <w:rFonts w:ascii="Gill Sans MT" w:hAnsi="Gill Sans MT"/>
        </w:rPr>
        <w:t>.NEQUATER – Mines and Geology</w:t>
      </w:r>
      <w:r>
        <w:rPr>
          <w:rFonts w:ascii="Gill Sans MT" w:hAnsi="Gill Sans MT"/>
        </w:rPr>
        <w:t>.</w:t>
      </w:r>
    </w:p>
  </w:footnote>
  <w:footnote w:id="24">
    <w:p w14:paraId="5E9B1572"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i/>
        </w:rPr>
        <w:t>Ibid, p. 56</w:t>
      </w:r>
    </w:p>
  </w:footnote>
  <w:footnote w:id="25">
    <w:p w14:paraId="7E92AA53"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Sasggerson, E. (2018). </w:t>
      </w:r>
      <w:r>
        <w:rPr>
          <w:rFonts w:ascii="Gill Sans MT" w:hAnsi="Gill Sans MT"/>
          <w:i/>
        </w:rPr>
        <w:t>Geology of Nairobi area: Degree sheet 51</w:t>
      </w:r>
      <w:r>
        <w:rPr>
          <w:rFonts w:ascii="Gill Sans MT" w:hAnsi="Gill Sans MT"/>
        </w:rPr>
        <w:t>.NEQUATER – Mines and Geology.</w:t>
      </w:r>
    </w:p>
  </w:footnote>
  <w:footnote w:id="26">
    <w:p w14:paraId="5B9D3247"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Candiracci, S. &amp; Syrjanen, R. (2007). UN-HABITAT and the Kenya Slum Upgrading Programme. Nairobi: United </w:t>
      </w:r>
      <w:r>
        <w:rPr>
          <w:rFonts w:ascii="Gill Sans MT" w:hAnsi="Gill Sans MT"/>
        </w:rPr>
        <w:tab/>
        <w:t xml:space="preserve">Nations Human Settlement Program (UN-HABITAT). Retrieved from </w:t>
      </w:r>
      <w:r>
        <w:rPr>
          <w:rFonts w:ascii="Gill Sans MT" w:hAnsi="Gill Sans MT"/>
        </w:rPr>
        <w:tab/>
      </w:r>
      <w:hyperlink r:id="rId12" w:history="1">
        <w:r>
          <w:rPr>
            <w:rStyle w:val="Hyperlink"/>
            <w:rFonts w:ascii="Gill Sans MT" w:hAnsi="Gill Sans MT"/>
          </w:rPr>
          <w:t>https://unhabitat.org/sites/default/files/download-manager-files/UN-</w:t>
        </w:r>
        <w:r>
          <w:rPr>
            <w:rStyle w:val="Hyperlink"/>
            <w:rFonts w:ascii="Gill Sans MT" w:hAnsi="Gill Sans MT"/>
          </w:rPr>
          <w:tab/>
          <w:t>HABITAT%20and%20Kenya%20Slum%20Upgrading%20Programme%20%28KENSUP%29.pdf</w:t>
        </w:r>
      </w:hyperlink>
    </w:p>
  </w:footnote>
  <w:footnote w:id="27">
    <w:p w14:paraId="389EBF03"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Candiracci, S. &amp; Syrjanen, R. (2007). UN</w:t>
      </w:r>
      <w:r>
        <w:rPr>
          <w:rFonts w:ascii="Gill Sans MT" w:hAnsi="Gill Sans MT"/>
        </w:rPr>
        <w:t xml:space="preserve">-HABITAT and the Kenya Slum Upgrading Programme. Nairobi: United </w:t>
      </w:r>
      <w:r>
        <w:rPr>
          <w:rFonts w:ascii="Gill Sans MT" w:hAnsi="Gill Sans MT"/>
        </w:rPr>
        <w:tab/>
        <w:t xml:space="preserve">Nations Human Settlement Program (UN-HABITAT). Retrieved from </w:t>
      </w:r>
      <w:r>
        <w:rPr>
          <w:rFonts w:ascii="Gill Sans MT" w:hAnsi="Gill Sans MT"/>
        </w:rPr>
        <w:tab/>
      </w:r>
      <w:hyperlink r:id="rId13" w:history="1">
        <w:r>
          <w:rPr>
            <w:rStyle w:val="Hyperlink"/>
            <w:rFonts w:ascii="Gill Sans MT" w:hAnsi="Gill Sans MT"/>
          </w:rPr>
          <w:t>https://unhabitat.org/sites/default/files/download-manager-files/UN-</w:t>
        </w:r>
        <w:r>
          <w:rPr>
            <w:rStyle w:val="Hyperlink"/>
            <w:rFonts w:ascii="Gill Sans MT" w:hAnsi="Gill Sans MT"/>
          </w:rPr>
          <w:tab/>
          <w:t>HABITAT%20and%20Kenya%20Slum%20Upgrading%20Programme%20%28KENSUP%29.pdf</w:t>
        </w:r>
      </w:hyperlink>
    </w:p>
  </w:footnote>
  <w:footnote w:id="28">
    <w:p w14:paraId="3D129B2D"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Candiracci, S. &amp; Syrjanen, R. (2007). UN-HABITAT and the Kenya Slum Upgrading Pro</w:t>
      </w:r>
      <w:r>
        <w:rPr>
          <w:rFonts w:ascii="Gill Sans MT" w:hAnsi="Gill Sans MT"/>
        </w:rPr>
        <w:t xml:space="preserve">gramme. Nairobi: United </w:t>
      </w:r>
      <w:r>
        <w:rPr>
          <w:rFonts w:ascii="Gill Sans MT" w:hAnsi="Gill Sans MT"/>
        </w:rPr>
        <w:tab/>
        <w:t xml:space="preserve">Nations Human Settlement Program (UN-HABITAT). Retrieved from </w:t>
      </w:r>
      <w:r>
        <w:rPr>
          <w:rFonts w:ascii="Gill Sans MT" w:hAnsi="Gill Sans MT"/>
        </w:rPr>
        <w:tab/>
      </w:r>
      <w:hyperlink r:id="rId14" w:history="1">
        <w:r>
          <w:rPr>
            <w:rStyle w:val="Hyperlink"/>
            <w:rFonts w:ascii="Gill Sans MT" w:hAnsi="Gill Sans MT"/>
          </w:rPr>
          <w:t>https://u</w:t>
        </w:r>
        <w:r>
          <w:rPr>
            <w:rStyle w:val="Hyperlink"/>
            <w:rFonts w:ascii="Gill Sans MT" w:hAnsi="Gill Sans MT"/>
          </w:rPr>
          <w:t>nhabitat.org/sites/default/files/download-manager-files/UN-</w:t>
        </w:r>
        <w:r>
          <w:rPr>
            <w:rStyle w:val="Hyperlink"/>
            <w:rFonts w:ascii="Gill Sans MT" w:hAnsi="Gill Sans MT"/>
          </w:rPr>
          <w:tab/>
          <w:t>HABITAT%20and%20Kenya%20Slum%20Upgrading%20Programme%20%28KENSUP%29.pdf</w:t>
        </w:r>
      </w:hyperlink>
    </w:p>
  </w:footnote>
  <w:footnote w:id="29">
    <w:p w14:paraId="0DD7D2F6"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w:t>
      </w:r>
      <w:r>
        <w:rPr>
          <w:rFonts w:ascii="Gill Sans MT" w:hAnsi="Gill Sans MT"/>
          <w:i/>
        </w:rPr>
        <w:t>Ibid, p. 14</w:t>
      </w:r>
    </w:p>
  </w:footnote>
  <w:footnote w:id="30">
    <w:p w14:paraId="2BC4D107" w14:textId="77777777" w:rsidR="00E258FD" w:rsidRDefault="001372B9">
      <w:pPr>
        <w:pStyle w:val="FootnoteText"/>
        <w:snapToGrid w:val="0"/>
        <w:spacing w:beforeAutospacing="0"/>
        <w:rPr>
          <w:rFonts w:ascii="Gill Sans MT" w:hAnsi="Gill Sans MT"/>
        </w:rPr>
      </w:pPr>
      <w:r>
        <w:rPr>
          <w:rStyle w:val="FootnoteReference"/>
          <w:rFonts w:ascii="Gill Sans MT" w:hAnsi="Gill Sans MT"/>
        </w:rPr>
        <w:footnoteRef/>
      </w:r>
      <w:r>
        <w:rPr>
          <w:rFonts w:ascii="Gill Sans MT" w:hAnsi="Gill Sans MT"/>
        </w:rPr>
        <w:t xml:space="preserve"> UN-HABITAT and the Kenya Slum Upgrading Project, Guiding Principles p16</w:t>
      </w:r>
    </w:p>
  </w:footnote>
  <w:footnote w:id="31">
    <w:p w14:paraId="3893D315"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(Muraguri, 2017; Gikonyo, 2012; Obare, 2020)</w:t>
      </w:r>
    </w:p>
  </w:footnote>
  <w:footnote w:id="32">
    <w:p w14:paraId="1A15A8CB"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Omenya, A. (2018). “State of housing in Kenya: Will government strategy deliver on social housing?” </w:t>
      </w:r>
      <w:r>
        <w:rPr>
          <w:rFonts w:ascii="Gill Sans MT" w:hAnsi="Gill Sans MT"/>
          <w:i/>
        </w:rPr>
        <w:t xml:space="preserve">Economic </w:t>
      </w:r>
      <w:r>
        <w:rPr>
          <w:rFonts w:ascii="Gill Sans MT" w:hAnsi="Gill Sans MT"/>
          <w:i/>
        </w:rPr>
        <w:tab/>
        <w:t>and Social Rights Centre</w:t>
      </w:r>
      <w:r>
        <w:rPr>
          <w:rFonts w:ascii="Gill Sans MT" w:hAnsi="Gill Sans MT"/>
          <w:i/>
        </w:rPr>
        <w:t xml:space="preserve">, Haki Jamii. </w:t>
      </w:r>
      <w:r>
        <w:rPr>
          <w:rFonts w:ascii="Gill Sans MT" w:hAnsi="Gill Sans MT"/>
        </w:rPr>
        <w:t xml:space="preserve">Retrieved from </w:t>
      </w:r>
      <w:hyperlink w:history="1">
        <w:r>
          <w:rPr>
            <w:rStyle w:val="Hyperlink"/>
            <w:rFonts w:ascii="Gill Sans MT" w:hAnsi="Gill Sans MT"/>
          </w:rPr>
          <w:t>https://s3-eu-west-</w:t>
        </w:r>
        <w:r>
          <w:rPr>
            <w:rStyle w:val="Hyperlink"/>
            <w:rFonts w:ascii="Gill Sans MT" w:hAnsi="Gill Sans MT"/>
          </w:rPr>
          <w:tab/>
          <w:t>1.amazonaws.com/s3.sourceafrica.net/documents/118447/State-of-Housing-Book-2.pdf</w:t>
        </w:r>
      </w:hyperlink>
      <w:r>
        <w:rPr>
          <w:rFonts w:ascii="Gill Sans MT" w:hAnsi="Gill Sans MT"/>
          <w:i/>
        </w:rPr>
        <w:t xml:space="preserve"> </w:t>
      </w:r>
    </w:p>
  </w:footnote>
  <w:footnote w:id="33">
    <w:p w14:paraId="4BF93742"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Omenya, A. (2018). “State of housing in Kenya: Will government strategy deliver on social housing?” </w:t>
      </w:r>
      <w:r>
        <w:rPr>
          <w:rFonts w:ascii="Gill Sans MT" w:hAnsi="Gill Sans MT"/>
          <w:i/>
        </w:rPr>
        <w:t xml:space="preserve">Economic </w:t>
      </w:r>
      <w:r>
        <w:rPr>
          <w:rFonts w:ascii="Gill Sans MT" w:hAnsi="Gill Sans MT"/>
          <w:i/>
        </w:rPr>
        <w:tab/>
        <w:t xml:space="preserve">and Social Rights Centre, Haki Jamii. </w:t>
      </w:r>
      <w:r>
        <w:rPr>
          <w:rFonts w:ascii="Gill Sans MT" w:hAnsi="Gill Sans MT"/>
        </w:rPr>
        <w:t xml:space="preserve">Retrieved from </w:t>
      </w:r>
      <w:hyperlink w:history="1">
        <w:r>
          <w:rPr>
            <w:rStyle w:val="Hyperlink"/>
            <w:rFonts w:ascii="Gill Sans MT" w:hAnsi="Gill Sans MT"/>
          </w:rPr>
          <w:t>https://s3-eu-west-</w:t>
        </w:r>
        <w:r>
          <w:rPr>
            <w:rStyle w:val="Hyperlink"/>
            <w:rFonts w:ascii="Gill Sans MT" w:hAnsi="Gill Sans MT"/>
          </w:rPr>
          <w:tab/>
          <w:t>1.amazonaws.com/s3.sourceafrica.net/documents/118447/State-of-Housing-Book-2.pdf</w:t>
        </w:r>
      </w:hyperlink>
    </w:p>
  </w:footnote>
  <w:footnote w:id="34">
    <w:p w14:paraId="32C9ABB4"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Amnesty International. (2009). Kenya: The unseen majority: Nairobi’s two million slum</w:t>
      </w:r>
      <w:r>
        <w:rPr>
          <w:rFonts w:ascii="Gill Sans MT" w:hAnsi="Gill Sans MT"/>
        </w:rPr>
        <w:t xml:space="preserve">-dwellers. Retrieved from </w:t>
      </w:r>
      <w:r>
        <w:rPr>
          <w:rFonts w:ascii="Gill Sans MT" w:hAnsi="Gill Sans MT"/>
        </w:rPr>
        <w:tab/>
      </w:r>
      <w:hyperlink r:id="rId15" w:history="1">
        <w:r>
          <w:rPr>
            <w:rStyle w:val="Hyperlink"/>
            <w:rFonts w:ascii="Gill Sans MT" w:hAnsi="Gill Sans MT"/>
          </w:rPr>
          <w:t>https://www.amnesty.org/en/documents/afr32/005/2009/en/</w:t>
        </w:r>
      </w:hyperlink>
      <w:r>
        <w:rPr>
          <w:rFonts w:ascii="Gill Sans MT" w:hAnsi="Gill Sans MT"/>
        </w:rPr>
        <w:t xml:space="preserve"> </w:t>
      </w:r>
    </w:p>
  </w:footnote>
  <w:footnote w:id="35">
    <w:p w14:paraId="7DCCF23A"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Candiracci, S. &amp; Syrjanen, R. (2007). UN-HABITAT and the Kenya Slum Upgrading Programme. Nairobi: </w:t>
      </w:r>
      <w:r>
        <w:rPr>
          <w:rFonts w:ascii="Gill Sans MT" w:hAnsi="Gill Sans MT"/>
        </w:rPr>
        <w:t xml:space="preserve">United </w:t>
      </w:r>
      <w:r>
        <w:rPr>
          <w:rFonts w:ascii="Gill Sans MT" w:hAnsi="Gill Sans MT"/>
        </w:rPr>
        <w:tab/>
        <w:t xml:space="preserve">Nations Human Settlement Program (UN-HABITAT). Retrieved from </w:t>
      </w:r>
      <w:r>
        <w:rPr>
          <w:rFonts w:ascii="Gill Sans MT" w:hAnsi="Gill Sans MT"/>
        </w:rPr>
        <w:tab/>
      </w:r>
      <w:hyperlink r:id="rId16" w:history="1">
        <w:r>
          <w:rPr>
            <w:rStyle w:val="Hyperlink"/>
            <w:rFonts w:ascii="Gill Sans MT" w:hAnsi="Gill Sans MT"/>
          </w:rPr>
          <w:t>https://unhabitat.org/site</w:t>
        </w:r>
        <w:r>
          <w:rPr>
            <w:rStyle w:val="Hyperlink"/>
            <w:rFonts w:ascii="Gill Sans MT" w:hAnsi="Gill Sans MT"/>
          </w:rPr>
          <w:t>s/default/files/download-manager-files/UN-</w:t>
        </w:r>
        <w:r>
          <w:rPr>
            <w:rStyle w:val="Hyperlink"/>
            <w:rFonts w:ascii="Gill Sans MT" w:hAnsi="Gill Sans MT"/>
          </w:rPr>
          <w:tab/>
          <w:t>HABITAT%20and%20Kenya%20Slum%20Upgrading%20Programme%20%28KENSUP%29.pdf</w:t>
        </w:r>
      </w:hyperlink>
    </w:p>
  </w:footnote>
  <w:footnote w:id="36">
    <w:p w14:paraId="3A75931B" w14:textId="77777777" w:rsidR="00E258FD" w:rsidRDefault="001372B9">
      <w:pPr>
        <w:pStyle w:val="FootnoteText"/>
        <w:spacing w:beforeAutospacing="0"/>
        <w:rPr>
          <w:rFonts w:ascii="Gill Sans MT" w:hAnsi="Gill Sans MT"/>
        </w:rPr>
      </w:pPr>
      <w:r>
        <w:rPr>
          <w:rStyle w:val="FootnoteReference"/>
          <w:rFonts w:ascii="Gill Sans MT" w:hAnsi="Gill Sans MT"/>
        </w:rPr>
        <w:footnoteRef/>
      </w:r>
      <w:r>
        <w:rPr>
          <w:rFonts w:ascii="Gill Sans MT" w:hAnsi="Gill Sans MT"/>
        </w:rPr>
        <w:t xml:space="preserve"> Omenya, A. (2018). “State of housing in Kenya: Will government strategy deliver on social housing?” </w:t>
      </w:r>
      <w:r>
        <w:rPr>
          <w:rFonts w:ascii="Gill Sans MT" w:hAnsi="Gill Sans MT"/>
          <w:i/>
        </w:rPr>
        <w:t xml:space="preserve">Economic </w:t>
      </w:r>
      <w:r>
        <w:rPr>
          <w:rFonts w:ascii="Gill Sans MT" w:hAnsi="Gill Sans MT"/>
          <w:i/>
        </w:rPr>
        <w:tab/>
        <w:t>and Social Rights Centre, Hak</w:t>
      </w:r>
      <w:r>
        <w:rPr>
          <w:rFonts w:ascii="Gill Sans MT" w:hAnsi="Gill Sans MT"/>
          <w:i/>
        </w:rPr>
        <w:t xml:space="preserve">i Jamii. </w:t>
      </w:r>
      <w:r>
        <w:rPr>
          <w:rFonts w:ascii="Gill Sans MT" w:hAnsi="Gill Sans MT"/>
        </w:rPr>
        <w:t xml:space="preserve">Retrieved from </w:t>
      </w:r>
      <w:hyperlink w:history="1">
        <w:r>
          <w:rPr>
            <w:rStyle w:val="Hyperlink"/>
            <w:rFonts w:ascii="Gill Sans MT" w:hAnsi="Gill Sans MT"/>
          </w:rPr>
          <w:t>https://s3-eu-west-</w:t>
        </w:r>
        <w:r>
          <w:rPr>
            <w:rStyle w:val="Hyperlink"/>
            <w:rFonts w:ascii="Gill Sans MT" w:hAnsi="Gill Sans MT"/>
          </w:rPr>
          <w:tab/>
          <w:t>1.amazonaws.com/s3.sourceafrica.net/documents/118447/State-of-Housing-Book-2.pdf</w:t>
        </w:r>
      </w:hyperlink>
    </w:p>
  </w:footnote>
  <w:footnote w:id="37">
    <w:p w14:paraId="4B994C59" w14:textId="77777777" w:rsidR="00E258FD" w:rsidRDefault="001372B9">
      <w:pPr>
        <w:spacing w:before="0" w:beforeAutospacing="0" w:after="0" w:line="240" w:lineRule="auto"/>
        <w:rPr>
          <w:rFonts w:ascii="Gill Sans MT" w:hAnsi="Gill Sans MT"/>
          <w:sz w:val="20"/>
          <w:szCs w:val="20"/>
        </w:rPr>
      </w:pPr>
      <w:r>
        <w:rPr>
          <w:rStyle w:val="FootnoteReference"/>
          <w:rFonts w:ascii="Gill Sans MT" w:hAnsi="Gill Sans MT"/>
          <w:sz w:val="20"/>
          <w:szCs w:val="20"/>
        </w:rPr>
        <w:footnoteRef/>
      </w:r>
      <w:r>
        <w:rPr>
          <w:rFonts w:ascii="Gill Sans MT" w:hAnsi="Gill Sans MT"/>
          <w:sz w:val="20"/>
          <w:szCs w:val="20"/>
        </w:rPr>
        <w:t xml:space="preserve"> Swapan, M. (2016). “Who participates and who doesn't?” </w:t>
      </w:r>
      <w:r>
        <w:rPr>
          <w:rFonts w:ascii="Gill Sans MT" w:hAnsi="Gill Sans MT"/>
          <w:i/>
          <w:sz w:val="20"/>
          <w:szCs w:val="20"/>
        </w:rPr>
        <w:t xml:space="preserve">Adapting community participation model for developing </w:t>
      </w:r>
      <w:r>
        <w:rPr>
          <w:rFonts w:ascii="Gill Sans MT" w:hAnsi="Gill Sans MT"/>
          <w:i/>
          <w:sz w:val="20"/>
          <w:szCs w:val="20"/>
        </w:rPr>
        <w:tab/>
        <w:t>count</w:t>
      </w:r>
      <w:r>
        <w:rPr>
          <w:rFonts w:ascii="Gill Sans MT" w:hAnsi="Gill Sans MT"/>
          <w:i/>
          <w:sz w:val="20"/>
          <w:szCs w:val="20"/>
        </w:rPr>
        <w:t>ries</w:t>
      </w:r>
      <w:r>
        <w:rPr>
          <w:rFonts w:ascii="Gill Sans MT" w:hAnsi="Gill Sans MT"/>
          <w:sz w:val="20"/>
          <w:szCs w:val="20"/>
        </w:rPr>
        <w:t xml:space="preserve">. </w:t>
      </w:r>
      <w:r>
        <w:rPr>
          <w:rFonts w:ascii="Gill Sans MT" w:hAnsi="Gill Sans MT"/>
          <w:i/>
          <w:sz w:val="20"/>
          <w:szCs w:val="20"/>
        </w:rPr>
        <w:t>Cities</w:t>
      </w:r>
      <w:r>
        <w:rPr>
          <w:rFonts w:ascii="Gill Sans MT" w:hAnsi="Gill Sans MT"/>
          <w:sz w:val="20"/>
          <w:szCs w:val="20"/>
        </w:rPr>
        <w:t>, 53, p. 74.</w:t>
      </w:r>
    </w:p>
    <w:p w14:paraId="5312CE7E" w14:textId="77777777" w:rsidR="00E258FD" w:rsidRDefault="00E258FD">
      <w:pPr>
        <w:pStyle w:val="FootnoteText"/>
        <w:spacing w:beforeAutospacing="0"/>
        <w:rPr>
          <w:rFonts w:ascii="Gill Sans MT" w:hAnsi="Gill Sans M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8E5F" w14:textId="77777777" w:rsidR="00E258FD" w:rsidRDefault="001372B9">
    <w:pPr>
      <w:pStyle w:val="Header"/>
      <w:rPr>
        <w:rFonts w:ascii="Gill Sans MT" w:hAnsi="Gill Sans MT"/>
        <w:i/>
      </w:rPr>
    </w:pPr>
    <w:r>
      <w:rPr>
        <w:rFonts w:ascii="Gill Sans MT" w:hAnsi="Gill Sans MT"/>
        <w:i/>
      </w:rPr>
      <w:t xml:space="preserve">Informal </w:t>
    </w:r>
    <w:r>
      <w:rPr>
        <w:rFonts w:ascii="Gill Sans MT" w:hAnsi="Gill Sans MT"/>
        <w:i/>
      </w:rPr>
      <w:t>Settlements Upgrading and Planning in Kenya – Study Report by Pamoja Trust, June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CD793E7D"/>
    <w:lvl w:ilvl="0">
      <w:start w:val="1"/>
      <w:numFmt w:val="lowerRoman"/>
      <w:lvlText w:val="%1."/>
      <w:lvlJc w:val="left"/>
      <w:pPr>
        <w:tabs>
          <w:tab w:val="left" w:pos="425"/>
        </w:tabs>
        <w:ind w:left="425" w:hanging="425"/>
      </w:pPr>
      <w:rPr>
        <w:rFonts w:hint="default"/>
      </w:rPr>
    </w:lvl>
  </w:abstractNum>
  <w:abstractNum w:abstractNumId="1" w15:restartNumberingAfterBreak="0">
    <w:nsid w:val="00000002"/>
    <w:multiLevelType w:val="singleLevel"/>
    <w:tmpl w:val="EBA1AED7"/>
    <w:lvl w:ilvl="0">
      <w:start w:val="6"/>
      <w:numFmt w:val="lowerLetter"/>
      <w:lvlText w:val="%1)"/>
      <w:lvlJc w:val="left"/>
      <w:pPr>
        <w:tabs>
          <w:tab w:val="left" w:pos="432"/>
        </w:tabs>
        <w:ind w:left="432" w:hanging="432"/>
      </w:pPr>
      <w:rPr>
        <w:rFonts w:hint="default"/>
      </w:rPr>
    </w:lvl>
  </w:abstractNum>
  <w:abstractNum w:abstractNumId="2" w15:restartNumberingAfterBreak="0">
    <w:nsid w:val="00000003"/>
    <w:multiLevelType w:val="multilevel"/>
    <w:tmpl w:val="01AF3541"/>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hybridMultilevel"/>
    <w:tmpl w:val="12CC58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000005"/>
    <w:multiLevelType w:val="multilevel"/>
    <w:tmpl w:val="041C67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06093CB7"/>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hybridMultilevel"/>
    <w:tmpl w:val="042C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multilevel"/>
    <w:tmpl w:val="12FD2E3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09"/>
    <w:multiLevelType w:val="multilevel"/>
    <w:tmpl w:val="1459593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800" w:hanging="360"/>
      </w:pPr>
      <w:rPr>
        <w:rFonts w:ascii="Times New Roman" w:hAnsi="Times New Roman" w:cs="Times New Roman" w:hint="default"/>
      </w:rPr>
    </w:lvl>
    <w:lvl w:ilvl="2">
      <w:start w:val="1"/>
      <w:numFmt w:val="lowerLetter"/>
      <w:lvlText w:val="%3)"/>
      <w:lvlJc w:val="left"/>
      <w:pPr>
        <w:ind w:left="3600" w:hanging="720"/>
      </w:pPr>
      <w:rPr>
        <w:rFonts w:hint="default"/>
      </w:rPr>
    </w:lvl>
    <w:lvl w:ilvl="3">
      <w:start w:val="1"/>
      <w:numFmt w:val="decimal"/>
      <w:lvlText w:val="%1.%2.%3.%4"/>
      <w:lvlJc w:val="left"/>
      <w:pPr>
        <w:ind w:left="5040" w:hanging="720"/>
      </w:pPr>
      <w:rPr>
        <w:rFonts w:ascii="Times New Roman" w:hAnsi="Times New Roman" w:cs="Times New Roman" w:hint="default"/>
      </w:rPr>
    </w:lvl>
    <w:lvl w:ilvl="4">
      <w:start w:val="1"/>
      <w:numFmt w:val="decimal"/>
      <w:lvlText w:val="%1.%2.%3.%4.%5"/>
      <w:lvlJc w:val="left"/>
      <w:pPr>
        <w:ind w:left="6840" w:hanging="1080"/>
      </w:pPr>
      <w:rPr>
        <w:rFonts w:ascii="Times New Roman" w:hAnsi="Times New Roman" w:cs="Times New Roman" w:hint="default"/>
      </w:rPr>
    </w:lvl>
    <w:lvl w:ilvl="5">
      <w:start w:val="1"/>
      <w:numFmt w:val="decimal"/>
      <w:lvlText w:val="%1.%2.%3.%4.%5.%6"/>
      <w:lvlJc w:val="left"/>
      <w:pPr>
        <w:ind w:left="8280" w:hanging="1080"/>
      </w:pPr>
      <w:rPr>
        <w:rFonts w:ascii="Times New Roman" w:hAnsi="Times New Roman" w:cs="Times New Roman" w:hint="default"/>
      </w:rPr>
    </w:lvl>
    <w:lvl w:ilvl="6">
      <w:start w:val="1"/>
      <w:numFmt w:val="decimal"/>
      <w:lvlText w:val="%1.%2.%3.%4.%5.%6.%7"/>
      <w:lvlJc w:val="left"/>
      <w:pPr>
        <w:ind w:left="9720" w:hanging="1080"/>
      </w:pPr>
      <w:rPr>
        <w:rFonts w:ascii="Times New Roman" w:hAnsi="Times New Roman" w:cs="Times New Roman" w:hint="default"/>
      </w:rPr>
    </w:lvl>
    <w:lvl w:ilvl="7">
      <w:start w:val="1"/>
      <w:numFmt w:val="decimal"/>
      <w:lvlText w:val="%1.%2.%3.%4.%5.%6.%7.%8"/>
      <w:lvlJc w:val="left"/>
      <w:pPr>
        <w:ind w:left="11520" w:hanging="1440"/>
      </w:pPr>
      <w:rPr>
        <w:rFonts w:ascii="Times New Roman" w:hAnsi="Times New Roman" w:cs="Times New Roman" w:hint="default"/>
      </w:rPr>
    </w:lvl>
    <w:lvl w:ilvl="8">
      <w:start w:val="1"/>
      <w:numFmt w:val="decimal"/>
      <w:lvlText w:val="%1.%2.%3.%4.%5.%6.%7.%8.%9"/>
      <w:lvlJc w:val="left"/>
      <w:pPr>
        <w:ind w:left="12960" w:hanging="1440"/>
      </w:pPr>
      <w:rPr>
        <w:rFonts w:ascii="Times New Roman" w:hAnsi="Times New Roman" w:cs="Times New Roman" w:hint="default"/>
      </w:rPr>
    </w:lvl>
  </w:abstractNum>
  <w:abstractNum w:abstractNumId="9" w15:restartNumberingAfterBreak="0">
    <w:nsid w:val="0000000A"/>
    <w:multiLevelType w:val="multilevel"/>
    <w:tmpl w:val="18825F0B"/>
    <w:lvl w:ilvl="0">
      <w:start w:val="1"/>
      <w:numFmt w:val="lowerLetter"/>
      <w:lvlText w:val="%1)"/>
      <w:lvlJc w:val="left"/>
      <w:pPr>
        <w:ind w:left="-720" w:hanging="360"/>
      </w:pPr>
      <w:rPr>
        <w:rFonts w:hint="default"/>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0" w15:restartNumberingAfterBreak="0">
    <w:nsid w:val="0000000B"/>
    <w:multiLevelType w:val="hybridMultilevel"/>
    <w:tmpl w:val="CB3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042C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multilevel"/>
    <w:tmpl w:val="41256463"/>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000000E"/>
    <w:multiLevelType w:val="multilevel"/>
    <w:tmpl w:val="44C278FD"/>
    <w:lvl w:ilvl="0">
      <w:start w:val="1"/>
      <w:numFmt w:val="bullet"/>
      <w:lvlText w:val=""/>
      <w:lvlJc w:val="left"/>
      <w:pPr>
        <w:ind w:left="720" w:hanging="360"/>
      </w:pPr>
      <w:rPr>
        <w:rFonts w:ascii="Wingdings" w:hAnsi="Wingdings" w:hint="default"/>
      </w:rPr>
    </w:lvl>
    <w:lvl w:ilvl="1">
      <w:start w:val="1"/>
      <w:numFmt w:val="bullet"/>
      <w:lvlText w:val="•"/>
      <w:lvlJc w:val="left"/>
      <w:pPr>
        <w:ind w:left="1800" w:hanging="720"/>
      </w:pPr>
      <w:rPr>
        <w:rFonts w:ascii="Gill Sans MT" w:eastAsia="Times New Roman" w:hAnsi="Gill Sans MT"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multilevel"/>
    <w:tmpl w:val="517C3CF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56110D8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0000011"/>
    <w:multiLevelType w:val="hybridMultilevel"/>
    <w:tmpl w:val="059459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000012"/>
    <w:multiLevelType w:val="multilevel"/>
    <w:tmpl w:val="5AD90B16"/>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8" w15:restartNumberingAfterBreak="0">
    <w:nsid w:val="00000013"/>
    <w:multiLevelType w:val="multilevel"/>
    <w:tmpl w:val="6B655D2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800" w:hanging="360"/>
      </w:pPr>
      <w:rPr>
        <w:rFonts w:ascii="Times New Roman" w:hAnsi="Times New Roman" w:cs="Times New Roman" w:hint="default"/>
      </w:rPr>
    </w:lvl>
    <w:lvl w:ilvl="2">
      <w:start w:val="1"/>
      <w:numFmt w:val="decimal"/>
      <w:lvlText w:val="%1.%2.%3"/>
      <w:lvlJc w:val="left"/>
      <w:pPr>
        <w:ind w:left="3600" w:hanging="720"/>
      </w:pPr>
      <w:rPr>
        <w:rFonts w:ascii="Times New Roman" w:hAnsi="Times New Roman" w:cs="Times New Roman" w:hint="default"/>
      </w:rPr>
    </w:lvl>
    <w:lvl w:ilvl="3">
      <w:start w:val="1"/>
      <w:numFmt w:val="decimal"/>
      <w:lvlText w:val="%1.%2.%3.%4"/>
      <w:lvlJc w:val="left"/>
      <w:pPr>
        <w:ind w:left="5040" w:hanging="720"/>
      </w:pPr>
      <w:rPr>
        <w:rFonts w:ascii="Times New Roman" w:hAnsi="Times New Roman" w:cs="Times New Roman" w:hint="default"/>
      </w:rPr>
    </w:lvl>
    <w:lvl w:ilvl="4">
      <w:start w:val="1"/>
      <w:numFmt w:val="decimal"/>
      <w:lvlText w:val="%1.%2.%3.%4.%5"/>
      <w:lvlJc w:val="left"/>
      <w:pPr>
        <w:ind w:left="6840" w:hanging="1080"/>
      </w:pPr>
      <w:rPr>
        <w:rFonts w:ascii="Times New Roman" w:hAnsi="Times New Roman" w:cs="Times New Roman" w:hint="default"/>
      </w:rPr>
    </w:lvl>
    <w:lvl w:ilvl="5">
      <w:start w:val="1"/>
      <w:numFmt w:val="decimal"/>
      <w:lvlText w:val="%1.%2.%3.%4.%5.%6"/>
      <w:lvlJc w:val="left"/>
      <w:pPr>
        <w:ind w:left="8280" w:hanging="1080"/>
      </w:pPr>
      <w:rPr>
        <w:rFonts w:ascii="Times New Roman" w:hAnsi="Times New Roman" w:cs="Times New Roman" w:hint="default"/>
      </w:rPr>
    </w:lvl>
    <w:lvl w:ilvl="6">
      <w:start w:val="1"/>
      <w:numFmt w:val="decimal"/>
      <w:lvlText w:val="%1.%2.%3.%4.%5.%6.%7"/>
      <w:lvlJc w:val="left"/>
      <w:pPr>
        <w:ind w:left="9720" w:hanging="1080"/>
      </w:pPr>
      <w:rPr>
        <w:rFonts w:ascii="Times New Roman" w:hAnsi="Times New Roman" w:cs="Times New Roman" w:hint="default"/>
      </w:rPr>
    </w:lvl>
    <w:lvl w:ilvl="7">
      <w:start w:val="1"/>
      <w:numFmt w:val="decimal"/>
      <w:lvlText w:val="%1.%2.%3.%4.%5.%6.%7.%8"/>
      <w:lvlJc w:val="left"/>
      <w:pPr>
        <w:ind w:left="11520" w:hanging="1440"/>
      </w:pPr>
      <w:rPr>
        <w:rFonts w:ascii="Times New Roman" w:hAnsi="Times New Roman" w:cs="Times New Roman" w:hint="default"/>
      </w:rPr>
    </w:lvl>
    <w:lvl w:ilvl="8">
      <w:start w:val="1"/>
      <w:numFmt w:val="decimal"/>
      <w:lvlText w:val="%1.%2.%3.%4.%5.%6.%7.%8.%9"/>
      <w:lvlJc w:val="left"/>
      <w:pPr>
        <w:ind w:left="12960" w:hanging="1440"/>
      </w:pPr>
      <w:rPr>
        <w:rFonts w:ascii="Times New Roman" w:hAnsi="Times New Roman" w:cs="Times New Roman" w:hint="default"/>
      </w:rPr>
    </w:lvl>
  </w:abstractNum>
  <w:abstractNum w:abstractNumId="19" w15:restartNumberingAfterBreak="0">
    <w:nsid w:val="00000014"/>
    <w:multiLevelType w:val="hybridMultilevel"/>
    <w:tmpl w:val="009E16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0000015"/>
    <w:multiLevelType w:val="multilevel"/>
    <w:tmpl w:val="75951F5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0000016"/>
    <w:multiLevelType w:val="hybridMultilevel"/>
    <w:tmpl w:val="042C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multilevel"/>
    <w:tmpl w:val="7C5232D1"/>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3" w15:restartNumberingAfterBreak="0">
    <w:nsid w:val="00000018"/>
    <w:multiLevelType w:val="multilevel"/>
    <w:tmpl w:val="7FE964E6"/>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C0747D4"/>
    <w:multiLevelType w:val="singleLevel"/>
    <w:tmpl w:val="B4E0A2E6"/>
    <w:lvl w:ilvl="0">
      <w:start w:val="1"/>
      <w:numFmt w:val="lowerLetter"/>
      <w:lvlText w:val="%1."/>
      <w:lvlJc w:val="left"/>
      <w:pPr>
        <w:tabs>
          <w:tab w:val="left" w:pos="425"/>
        </w:tabs>
        <w:ind w:left="425" w:hanging="425"/>
      </w:pPr>
      <w:rPr>
        <w:rFonts w:hint="default"/>
      </w:rPr>
    </w:lvl>
  </w:abstractNum>
  <w:num w:numId="1">
    <w:abstractNumId w:val="11"/>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
  </w:num>
  <w:num w:numId="5">
    <w:abstractNumId w:val="8"/>
  </w:num>
  <w:num w:numId="6">
    <w:abstractNumId w:val="13"/>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0"/>
  </w:num>
  <w:num w:numId="10">
    <w:abstractNumId w:val="2"/>
  </w:num>
  <w:num w:numId="11">
    <w:abstractNumId w:val="5"/>
  </w:num>
  <w:num w:numId="12">
    <w:abstractNumId w:val="12"/>
  </w:num>
  <w:num w:numId="13">
    <w:abstractNumId w:val="23"/>
  </w:num>
  <w:num w:numId="14">
    <w:abstractNumId w:val="1"/>
  </w:num>
  <w:num w:numId="15">
    <w:abstractNumId w:val="0"/>
  </w:num>
  <w:num w:numId="1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7"/>
  </w:num>
  <w:num w:numId="19">
    <w:abstractNumId w:val="9"/>
  </w:num>
  <w:num w:numId="20">
    <w:abstractNumId w:val="10"/>
  </w:num>
  <w:num w:numId="21">
    <w:abstractNumId w:val="19"/>
  </w:num>
  <w:num w:numId="22">
    <w:abstractNumId w:val="16"/>
  </w:num>
  <w:num w:numId="23">
    <w:abstractNumId w:val="3"/>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FD"/>
    <w:rsid w:val="000B4AAD"/>
    <w:rsid w:val="001372B9"/>
    <w:rsid w:val="00504B3C"/>
    <w:rsid w:val="006E150A"/>
    <w:rsid w:val="00817276"/>
    <w:rsid w:val="008335E4"/>
    <w:rsid w:val="00B32F7F"/>
    <w:rsid w:val="00D06C79"/>
    <w:rsid w:val="00E258FD"/>
    <w:rsid w:val="00EB3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F4EBE"/>
  <w15:docId w15:val="{C1BA51FE-A4B3-4230-8D6F-0B8C9990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200" w:line="273" w:lineRule="auto"/>
    </w:pPr>
    <w:rPr>
      <w:rFonts w:ascii="Calibri" w:eastAsia="Times New Roman" w:hAnsi="Calibri"/>
      <w:sz w:val="22"/>
      <w:szCs w:val="22"/>
    </w:rPr>
  </w:style>
  <w:style w:type="paragraph" w:styleId="Heading1">
    <w:name w:val="heading 1"/>
    <w:basedOn w:val="Normal"/>
    <w:next w:val="Normal"/>
    <w:uiPriority w:val="9"/>
    <w:qFormat/>
    <w:pPr>
      <w:tabs>
        <w:tab w:val="left" w:pos="426"/>
      </w:tabs>
      <w:spacing w:before="480" w:after="600" w:line="240" w:lineRule="auto"/>
      <w:ind w:left="360" w:hanging="360"/>
      <w:jc w:val="both"/>
      <w:outlineLvl w:val="0"/>
    </w:pPr>
    <w:rPr>
      <w:rFonts w:ascii="Arial" w:eastAsia="Arial" w:hAnsi="Arial" w:cs="Arial"/>
      <w:b/>
      <w:color w:val="3D4DA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Calibri Light" w:eastAsia="DengXian Light" w:hAnsi="Calibri Light" w:cs="SimSun"/>
      <w:b/>
      <w:bCs/>
      <w:color w:val="5B9BD5"/>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Light" w:eastAsia="DengXian Light" w:hAnsi="Calibri Light" w:cs="SimSu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before="0" w:after="0" w:line="240" w:lineRule="auto"/>
    </w:pPr>
    <w:rPr>
      <w:rFonts w:ascii="Tahoma" w:hAnsi="Tahoma" w:cs="Tahoma"/>
      <w:sz w:val="16"/>
      <w:szCs w:val="16"/>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bCs/>
    </w:rPr>
  </w:style>
  <w:style w:type="paragraph" w:styleId="Footer">
    <w:name w:val="footer"/>
    <w:basedOn w:val="Normal"/>
    <w:link w:val="FooterChar"/>
    <w:uiPriority w:val="99"/>
    <w:qFormat/>
    <w:pPr>
      <w:tabs>
        <w:tab w:val="center" w:pos="4680"/>
        <w:tab w:val="right" w:pos="9360"/>
      </w:tabs>
      <w:spacing w:before="0" w:after="0" w:line="240" w:lineRule="auto"/>
    </w:pPr>
  </w:style>
  <w:style w:type="character" w:styleId="FootnoteReference">
    <w:name w:val="footnote reference"/>
    <w:link w:val="footnotenumberCharCarChar"/>
    <w:uiPriority w:val="99"/>
    <w:qFormat/>
    <w:rPr>
      <w:vertAlign w:val="superscript"/>
    </w:rPr>
  </w:style>
  <w:style w:type="paragraph" w:customStyle="1" w:styleId="footnotenumberCharCarChar">
    <w:name w:val="footnote number Char Car Char"/>
    <w:basedOn w:val="Normal"/>
    <w:next w:val="FootnoteText"/>
    <w:link w:val="FootnoteReference"/>
    <w:uiPriority w:val="99"/>
    <w:qFormat/>
    <w:pPr>
      <w:spacing w:after="160" w:line="240" w:lineRule="exact"/>
    </w:pPr>
    <w:rPr>
      <w:vertAlign w:val="superscript"/>
    </w:rPr>
  </w:style>
  <w:style w:type="paragraph" w:styleId="FootnoteText">
    <w:name w:val="footnote text"/>
    <w:basedOn w:val="Normal"/>
    <w:link w:val="FootnoteTextChar"/>
    <w:uiPriority w:val="99"/>
    <w:qFormat/>
    <w:pPr>
      <w:spacing w:before="0" w:after="0" w:line="240" w:lineRule="auto"/>
    </w:pPr>
    <w:rPr>
      <w:sz w:val="20"/>
      <w:szCs w:val="20"/>
    </w:rPr>
  </w:style>
  <w:style w:type="paragraph" w:styleId="Header">
    <w:name w:val="header"/>
    <w:basedOn w:val="Normal"/>
    <w:link w:val="HeaderChar"/>
    <w:uiPriority w:val="99"/>
    <w:qFormat/>
    <w:pPr>
      <w:tabs>
        <w:tab w:val="center" w:pos="4680"/>
        <w:tab w:val="right" w:pos="9360"/>
      </w:tabs>
      <w:spacing w:before="0" w:after="0" w:line="240" w:lineRule="auto"/>
    </w:pPr>
  </w:style>
  <w:style w:type="character" w:styleId="Hyperlink">
    <w:name w:val="Hyperlink"/>
    <w:basedOn w:val="DefaultParagraphFont"/>
    <w:uiPriority w:val="99"/>
    <w:qFormat/>
    <w:rPr>
      <w:color w:val="0563C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 w:type="table" w:customStyle="1" w:styleId="ListTable2-Accent11">
    <w:name w:val="List Table 2 - Accent 11"/>
    <w:basedOn w:val="TableNormal"/>
    <w:qFormat/>
    <w:rPr>
      <w:rFonts w:eastAsia="Times New Roman"/>
    </w:rPr>
    <w:tblPr>
      <w:tblBorders>
        <w:top w:val="single" w:sz="4" w:space="0" w:color="9CC2E5"/>
        <w:bottom w:val="single" w:sz="4" w:space="0" w:color="9CC2E5"/>
        <w:insideH w:val="single" w:sz="4" w:space="0" w:color="9CC2E5"/>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DEEAF6"/>
      </w:tcPr>
    </w:tblStylePr>
    <w:tblStylePr w:type="band1Horz">
      <w:tblPr/>
      <w:tcPr>
        <w:shd w:val="clear" w:color="auto" w:fill="DEEAF6"/>
      </w:tcPr>
    </w:tblStylePr>
  </w:style>
  <w:style w:type="paragraph" w:customStyle="1" w:styleId="Revision1">
    <w:name w:val="Revision1"/>
    <w:uiPriority w:val="99"/>
    <w:qFormat/>
    <w:rPr>
      <w:rFonts w:ascii="Calibri" w:eastAsia="Times New Roman" w:hAnsi="Calibri"/>
      <w:sz w:val="22"/>
      <w:szCs w:val="22"/>
    </w:rPr>
  </w:style>
  <w:style w:type="character" w:customStyle="1" w:styleId="CommentTextChar">
    <w:name w:val="Comment Text Char"/>
    <w:basedOn w:val="DefaultParagraphFont"/>
    <w:link w:val="CommentText"/>
    <w:uiPriority w:val="99"/>
    <w:qFormat/>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qFormat/>
    <w:rPr>
      <w:rFonts w:ascii="Calibri" w:eastAsia="Times New Roman" w:hAnsi="Calibri" w:cs="Times New Roman"/>
      <w:b/>
      <w:bCs/>
      <w:sz w:val="20"/>
      <w:szCs w:val="20"/>
    </w:r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paragraph" w:customStyle="1" w:styleId="Revision2">
    <w:name w:val="Revision2"/>
    <w:uiPriority w:val="99"/>
    <w:qFormat/>
    <w:rPr>
      <w:rFonts w:ascii="Calibri" w:eastAsia="Times New Roman" w:hAnsi="Calibri"/>
      <w:sz w:val="22"/>
      <w:szCs w:val="22"/>
    </w:rPr>
  </w:style>
  <w:style w:type="character" w:customStyle="1" w:styleId="FootnoteTextChar">
    <w:name w:val="Footnote Text Char"/>
    <w:basedOn w:val="DefaultParagraphFont"/>
    <w:link w:val="FootnoteText"/>
    <w:uiPriority w:val="99"/>
    <w:qFormat/>
    <w:rPr>
      <w:rFonts w:ascii="Calibri" w:eastAsia="Times New Roman" w:hAnsi="Calibri"/>
    </w:rPr>
  </w:style>
  <w:style w:type="character" w:customStyle="1" w:styleId="HeaderChar">
    <w:name w:val="Header Char"/>
    <w:basedOn w:val="DefaultParagraphFont"/>
    <w:link w:val="Header"/>
    <w:uiPriority w:val="99"/>
    <w:qFormat/>
    <w:rPr>
      <w:rFonts w:ascii="Calibri" w:eastAsia="Times New Roman" w:hAnsi="Calibri"/>
      <w:sz w:val="22"/>
      <w:szCs w:val="22"/>
    </w:rPr>
  </w:style>
  <w:style w:type="character" w:customStyle="1" w:styleId="FooterChar">
    <w:name w:val="Footer Char"/>
    <w:basedOn w:val="DefaultParagraphFont"/>
    <w:link w:val="Footer"/>
    <w:uiPriority w:val="99"/>
    <w:qFormat/>
    <w:rPr>
      <w:rFonts w:ascii="Calibri" w:eastAsia="Times New Roman" w:hAnsi="Calibri"/>
      <w:sz w:val="22"/>
      <w:szCs w:val="22"/>
    </w:rPr>
  </w:style>
  <w:style w:type="character" w:styleId="BookTitle">
    <w:name w:val="Book Title"/>
    <w:basedOn w:val="DefaultParagraphFont"/>
    <w:uiPriority w:val="33"/>
    <w:qFormat/>
    <w:rPr>
      <w:b/>
      <w:bCs/>
      <w:smallCaps/>
      <w:spacing w:val="5"/>
    </w:rPr>
  </w:style>
  <w:style w:type="character" w:customStyle="1" w:styleId="Heading2Char">
    <w:name w:val="Heading 2 Char"/>
    <w:basedOn w:val="DefaultParagraphFont"/>
    <w:link w:val="Heading2"/>
    <w:uiPriority w:val="9"/>
    <w:rPr>
      <w:rFonts w:ascii="Calibri Light" w:eastAsia="DengXian Light" w:hAnsi="Calibri Light" w:cs="SimSun"/>
      <w:b/>
      <w:bCs/>
      <w:color w:val="5B9BD5"/>
      <w:sz w:val="26"/>
      <w:szCs w:val="26"/>
    </w:rPr>
  </w:style>
  <w:style w:type="character" w:customStyle="1" w:styleId="Heading3Char">
    <w:name w:val="Heading 3 Char"/>
    <w:basedOn w:val="DefaultParagraphFont"/>
    <w:link w:val="Heading3"/>
    <w:uiPriority w:val="9"/>
    <w:rPr>
      <w:rFonts w:ascii="Calibri Light" w:eastAsia="DengXian Light" w:hAnsi="Calibri Light" w:cs="SimSun"/>
      <w:b/>
      <w:bCs/>
      <w:color w:val="5B9BD5"/>
      <w:sz w:val="22"/>
      <w:szCs w:val="22"/>
    </w:rPr>
  </w:style>
  <w:style w:type="paragraph" w:styleId="TOCHeading">
    <w:name w:val="TOC Heading"/>
    <w:basedOn w:val="Heading1"/>
    <w:next w:val="Normal"/>
    <w:uiPriority w:val="39"/>
    <w:qFormat/>
    <w:pPr>
      <w:keepNext/>
      <w:keepLines/>
      <w:tabs>
        <w:tab w:val="clear" w:pos="426"/>
      </w:tabs>
      <w:spacing w:beforeAutospacing="0" w:after="0" w:line="276" w:lineRule="auto"/>
      <w:ind w:left="0" w:firstLine="0"/>
      <w:jc w:val="left"/>
      <w:outlineLvl w:val="9"/>
    </w:pPr>
    <w:rPr>
      <w:rFonts w:ascii="Calibri Light" w:eastAsia="DengXian Light" w:hAnsi="Calibri Light" w:cs="SimSun"/>
      <w:bCs/>
      <w:color w:val="2E74B5"/>
      <w:sz w:val="28"/>
      <w:szCs w:val="28"/>
      <w:lang w:eastAsia="ja-JP"/>
    </w:rPr>
  </w:style>
  <w:style w:type="paragraph" w:styleId="TOC2">
    <w:name w:val="toc 2"/>
    <w:basedOn w:val="Normal"/>
    <w:next w:val="Normal"/>
    <w:uiPriority w:val="39"/>
    <w:pPr>
      <w:spacing w:after="100"/>
      <w:ind w:left="220"/>
    </w:pPr>
  </w:style>
  <w:style w:type="paragraph" w:styleId="TOC1">
    <w:name w:val="toc 1"/>
    <w:basedOn w:val="Normal"/>
    <w:next w:val="Normal"/>
    <w:uiPriority w:val="39"/>
    <w:pPr>
      <w:spacing w:after="100"/>
    </w:pPr>
  </w:style>
  <w:style w:type="paragraph" w:styleId="TOC3">
    <w:name w:val="toc 3"/>
    <w:basedOn w:val="Normal"/>
    <w:next w:val="Normal"/>
    <w:uiPriority w:val="39"/>
    <w:pPr>
      <w:spacing w:after="100"/>
      <w:ind w:left="440"/>
    </w:pPr>
  </w:style>
  <w:style w:type="paragraph" w:styleId="Caption">
    <w:name w:val="caption"/>
    <w:basedOn w:val="Normal"/>
    <w:next w:val="Normal"/>
    <w:uiPriority w:val="35"/>
    <w:qFormat/>
    <w:pPr>
      <w:spacing w:before="0" w:line="240" w:lineRule="auto"/>
    </w:pPr>
    <w:rPr>
      <w:b/>
      <w:bCs/>
      <w:color w:val="5B9BD5"/>
      <w:sz w:val="18"/>
      <w:szCs w:val="18"/>
    </w:rPr>
  </w:style>
  <w:style w:type="paragraph" w:styleId="TableofFigures">
    <w:name w:val="table of figures"/>
    <w:basedOn w:val="Normal"/>
    <w:next w:val="Normal"/>
    <w:uiPriority w:val="9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jstor.org.ezproxy.library.wur.nl/stable/43198476" TargetMode="External"/><Relationship Id="rId3" Type="http://schemas.openxmlformats.org/officeDocument/2006/relationships/styles" Target="styles.xml"/><Relationship Id="rId21" Type="http://schemas.openxmlformats.org/officeDocument/2006/relationships/hyperlink" Target="https://www.researchgate.net/publication/339069141_AN_EVALUATION_OF_SLUM_%09UPGRADING_SCHEMES_IN_NAIROBI_COUNTY_THE_CASE_OF_KIBERA_SLUMS%09_A_Research_Project_Report_Submitted_in_Partial_Fulfillment_for_the_Requirements%09_For_the_Degree_of_Bachelor_of_Envir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repository.uonbi.ac.ke/handle/11295/90750" TargetMode="External"/><Relationship Id="rId2" Type="http://schemas.openxmlformats.org/officeDocument/2006/relationships/numbering" Target="numbering.xml"/><Relationship Id="rId16" Type="http://schemas.openxmlformats.org/officeDocument/2006/relationships/hyperlink" Target="https://unhabitat.org/sites/default/files/download-manager-files/UN-%09HABITAT%20and%20Kenya%20Slum%20Upgrading%20Programme%20%28KENSUP%29%09.pdf" TargetMode="External"/><Relationship Id="rId20" Type="http://schemas.openxmlformats.org/officeDocument/2006/relationships/hyperlink" Target="file:/E:/Work%202.0/Patrick%20Ochieng/Pamoja%20Trust%20Assignment/Documents/%09VOLUME%20IV%20KPHC%20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mnesty.org/en/wp-%09content/uploads/2021/06/afr320052009eng.pdf"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researchgate.net/publication/262855415_Urbanisation_in_Keny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journals.openedition.org/eastafrica/52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39069141_AN_EVALUATION_OF_SLUM_UPGRADING_SC%09HEMES_IN_NAIROBI_COUNTY_THE_CASE_OF_KIBERA_SLUMS_A_Research_Project_Report_Sub%09mitted_in_Partial_Fulfillment_for_the_Requirements_For_the_Degree_of_Bachelor_of_Environ" TargetMode="External"/><Relationship Id="rId13" Type="http://schemas.openxmlformats.org/officeDocument/2006/relationships/hyperlink" Target="https://unhabitat.org/sites/default/files/download-manager-files/UN-%09HABITAT%20and%20Kenya%20Slum%20Upgrading%20Programme%20%28KENSUP%29.pdf" TargetMode="External"/><Relationship Id="rId3" Type="http://schemas.openxmlformats.org/officeDocument/2006/relationships/hyperlink" Target="https://www.researchgate.net/publication/262855415_Urbanization_in_Kenya" TargetMode="External"/><Relationship Id="rId7" Type="http://schemas.openxmlformats.org/officeDocument/2006/relationships/hyperlink" Target="https://www.amnesty.org/en/wp-%09content/uploads/2021/06/afr320052009eng.pdf" TargetMode="External"/><Relationship Id="rId12" Type="http://schemas.openxmlformats.org/officeDocument/2006/relationships/hyperlink" Target="https://unhabitat.org/sites/default/files/download-manager-files/UN-%09HABITAT%20and%20Kenya%20Slum%20Upgrading%20Programme%20%28KENSUP%29.pdf" TargetMode="External"/><Relationship Id="rId2" Type="http://schemas.openxmlformats.org/officeDocument/2006/relationships/hyperlink" Target="http://journals.openedition.org/eastafrica/524" TargetMode="External"/><Relationship Id="rId16" Type="http://schemas.openxmlformats.org/officeDocument/2006/relationships/hyperlink" Target="https://unhabitat.org/sites/default/files/download-manager-files/UN-%09HABITAT%20and%20Kenya%20Slum%20Upgrading%20Programme%20%28KENSUP%29.pdf" TargetMode="External"/><Relationship Id="rId1" Type="http://schemas.openxmlformats.org/officeDocument/2006/relationships/hyperlink" Target="https://www.researchgate.net/publication/262855415_Urbanization_in_Kenya" TargetMode="External"/><Relationship Id="rId6" Type="http://schemas.openxmlformats.org/officeDocument/2006/relationships/hyperlink" Target="https://www.researchgate.net/publication/339069141_AN_EVALUATION_OF_SLUM_UPGRADING_SC%09HEMES_IN_NAIROBI_COUNTY_THE_CASE_OF_KIBERA_SLUMS_A_Research_Project_Report_Sub%09mitted_in_Partial_Fulfillment_for_the_Requirements_For_the_Degree_of_Bachelor_of_Environ" TargetMode="External"/><Relationship Id="rId11" Type="http://schemas.openxmlformats.org/officeDocument/2006/relationships/hyperlink" Target="https://unhabitat.org/sites/default/files/download-manager-files/UN-%09HABITAT%20and%20Kenya%20Slum%20Upgrading%20Programme%20%28KENSUP%29.pdf" TargetMode="External"/><Relationship Id="rId5" Type="http://schemas.openxmlformats.org/officeDocument/2006/relationships/hyperlink" Target="http://erepository.uonbi.ac.ke/handle/11295/90750" TargetMode="External"/><Relationship Id="rId15" Type="http://schemas.openxmlformats.org/officeDocument/2006/relationships/hyperlink" Target="https://www.amnesty.org/en/documents/afr32/005/2009/en/" TargetMode="External"/><Relationship Id="rId10" Type="http://schemas.openxmlformats.org/officeDocument/2006/relationships/hyperlink" Target="http://kenyalaw.org/caselaw/cases/view/90359/" TargetMode="External"/><Relationship Id="rId4" Type="http://schemas.openxmlformats.org/officeDocument/2006/relationships/hyperlink" Target="http://erepository.uonbi.ac.ke/handle/11295/90750" TargetMode="External"/><Relationship Id="rId9" Type="http://schemas.openxmlformats.org/officeDocument/2006/relationships/hyperlink" Target="https://www.kelinkenya.org/wp-content/uploads/2021/01/Judgmment-Mitubell.pdf" TargetMode="External"/><Relationship Id="rId14" Type="http://schemas.openxmlformats.org/officeDocument/2006/relationships/hyperlink" Target="https://unhabitat.org/sites/default/files/download-manager-files/UN-%09HABITAT%20and%20Kenya%20Slum%20Upgrading%20Programme%20%28KENSUP%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8E496-1E78-4EDB-A3C1-EDD6E878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14963</Words>
  <Characters>85292</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Ochieng</dc:creator>
  <cp:lastModifiedBy>Reception</cp:lastModifiedBy>
  <cp:revision>2</cp:revision>
  <dcterms:created xsi:type="dcterms:W3CDTF">2022-09-19T13:59:00Z</dcterms:created>
  <dcterms:modified xsi:type="dcterms:W3CDTF">2022-09-19T13:59:00Z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cb5d33f06c074f738cda0053a5ab62aa</vt:lpwstr>
  </property>
</Properties>
</file>