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B02" w:rsidRDefault="00B32B02" w:rsidP="00760282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6591300</wp:posOffset>
                </wp:positionH>
                <wp:positionV relativeFrom="paragraph">
                  <wp:posOffset>-581025</wp:posOffset>
                </wp:positionV>
                <wp:extent cx="1514475" cy="10001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32B02" w:rsidRDefault="00AC6FB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607485" wp14:editId="6CEE7B89">
                                  <wp:extent cx="1209675" cy="1009650"/>
                                  <wp:effectExtent l="0" t="0" r="9525" b="0"/>
                                  <wp:docPr id="4" name="Pictur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5451" b="7056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9675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19pt;margin-top:-45.75pt;width:119.25pt;height:7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" fillcolor="white [3201]" stroked="f" strokeweight=".5pt">
                <v:textbox>
                  <w:txbxContent>
                    <w:p w:rsidR="00B32B02" w:rsidRDefault="00AC6FB0">
                      <w:r>
                        <w:rPr>
                          <w:noProof/>
                        </w:rPr>
                        <w:drawing>
                          <wp:inline distT="0" distB="0" distL="0" distR="0" wp14:anchorId="10607485" wp14:editId="6CEE7B89">
                            <wp:extent cx="1209675" cy="1009650"/>
                            <wp:effectExtent l="0" t="0" r="9525" b="0"/>
                            <wp:docPr id="4" name="Picture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5451" b="7056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9675" cy="1009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66B64" w:rsidRPr="00760282" w:rsidRDefault="009922BA" w:rsidP="00760282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60282">
        <w:rPr>
          <w:rFonts w:ascii="Times New Roman" w:hAnsi="Times New Roman" w:cs="Times New Roman"/>
          <w:b/>
          <w:sz w:val="24"/>
          <w:szCs w:val="24"/>
          <w:lang w:val="en-GB"/>
        </w:rPr>
        <w:t xml:space="preserve">POLICY MOMENTS </w:t>
      </w:r>
      <w:r w:rsidR="00DE7125" w:rsidRPr="00760282">
        <w:rPr>
          <w:rFonts w:ascii="Times New Roman" w:hAnsi="Times New Roman" w:cs="Times New Roman"/>
          <w:b/>
          <w:sz w:val="24"/>
          <w:szCs w:val="24"/>
          <w:lang w:val="en-GB"/>
        </w:rPr>
        <w:t>–</w:t>
      </w:r>
      <w:r w:rsidRPr="0076028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B32B02">
        <w:rPr>
          <w:rFonts w:ascii="Times New Roman" w:hAnsi="Times New Roman" w:cs="Times New Roman"/>
          <w:b/>
          <w:sz w:val="24"/>
          <w:szCs w:val="24"/>
          <w:lang w:val="en-GB"/>
        </w:rPr>
        <w:t xml:space="preserve">Land and </w:t>
      </w:r>
      <w:r w:rsidR="00DE7125" w:rsidRPr="00760282">
        <w:rPr>
          <w:rFonts w:ascii="Times New Roman" w:hAnsi="Times New Roman" w:cs="Times New Roman"/>
          <w:b/>
          <w:sz w:val="24"/>
          <w:szCs w:val="24"/>
          <w:lang w:val="en-GB"/>
        </w:rPr>
        <w:t>Housing Rights</w:t>
      </w:r>
    </w:p>
    <w:tbl>
      <w:tblPr>
        <w:tblStyle w:val="TableGrid"/>
        <w:tblW w:w="1460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57"/>
        <w:gridCol w:w="1532"/>
        <w:gridCol w:w="1890"/>
        <w:gridCol w:w="3434"/>
        <w:gridCol w:w="4610"/>
        <w:gridCol w:w="1978"/>
      </w:tblGrid>
      <w:tr w:rsidR="009423D8" w:rsidRPr="00760282" w:rsidTr="002165F6">
        <w:tc>
          <w:tcPr>
            <w:tcW w:w="1157" w:type="dxa"/>
          </w:tcPr>
          <w:p w:rsidR="009423D8" w:rsidRPr="00760282" w:rsidRDefault="009423D8" w:rsidP="0076028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6028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YEAR</w:t>
            </w:r>
          </w:p>
        </w:tc>
        <w:tc>
          <w:tcPr>
            <w:tcW w:w="1532" w:type="dxa"/>
          </w:tcPr>
          <w:p w:rsidR="009423D8" w:rsidRPr="00760282" w:rsidRDefault="009423D8" w:rsidP="0076028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6028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MONTH/DAY</w:t>
            </w:r>
          </w:p>
        </w:tc>
        <w:tc>
          <w:tcPr>
            <w:tcW w:w="1890" w:type="dxa"/>
          </w:tcPr>
          <w:p w:rsidR="009423D8" w:rsidRPr="00760282" w:rsidRDefault="009423D8" w:rsidP="0076028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6028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NAME OF POLICY MOMENT</w:t>
            </w:r>
          </w:p>
        </w:tc>
        <w:tc>
          <w:tcPr>
            <w:tcW w:w="3434" w:type="dxa"/>
          </w:tcPr>
          <w:p w:rsidR="009423D8" w:rsidRPr="00760282" w:rsidRDefault="009423D8" w:rsidP="00760282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GB"/>
              </w:rPr>
            </w:pPr>
            <w:r w:rsidRPr="0076028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BRIEF DESCRIPTION</w:t>
            </w:r>
          </w:p>
        </w:tc>
        <w:tc>
          <w:tcPr>
            <w:tcW w:w="4610" w:type="dxa"/>
          </w:tcPr>
          <w:p w:rsidR="009423D8" w:rsidRPr="00760282" w:rsidRDefault="009423D8" w:rsidP="0076028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6028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RELEVANCY</w:t>
            </w:r>
          </w:p>
        </w:tc>
        <w:tc>
          <w:tcPr>
            <w:tcW w:w="1978" w:type="dxa"/>
          </w:tcPr>
          <w:p w:rsidR="009423D8" w:rsidRPr="00760282" w:rsidRDefault="009423D8" w:rsidP="0076028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6028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ORGANIZED BY</w:t>
            </w:r>
          </w:p>
        </w:tc>
      </w:tr>
      <w:tr w:rsidR="009423D8" w:rsidRPr="00760282" w:rsidTr="002165F6">
        <w:tc>
          <w:tcPr>
            <w:tcW w:w="14601" w:type="dxa"/>
            <w:gridSpan w:val="6"/>
          </w:tcPr>
          <w:p w:rsidR="009423D8" w:rsidRDefault="009423D8" w:rsidP="009423D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GB"/>
              </w:rPr>
            </w:pPr>
            <w:r w:rsidRPr="0076028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GB"/>
              </w:rPr>
              <w:t>INTERNATIONAL POLICY MOMENTS</w:t>
            </w:r>
          </w:p>
          <w:p w:rsidR="009423D8" w:rsidRPr="00760282" w:rsidRDefault="009423D8" w:rsidP="0076028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9423D8" w:rsidRPr="00760282" w:rsidTr="002165F6">
        <w:trPr>
          <w:trHeight w:val="1457"/>
        </w:trPr>
        <w:tc>
          <w:tcPr>
            <w:tcW w:w="1157" w:type="dxa"/>
          </w:tcPr>
          <w:p w:rsidR="009423D8" w:rsidRPr="00760282" w:rsidRDefault="009423D8" w:rsidP="0076028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6028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EVERY YEAR</w:t>
            </w:r>
          </w:p>
        </w:tc>
        <w:tc>
          <w:tcPr>
            <w:tcW w:w="1532" w:type="dxa"/>
          </w:tcPr>
          <w:p w:rsidR="009423D8" w:rsidRPr="00760282" w:rsidRDefault="009423D8" w:rsidP="00B32B0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6028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March 8th </w:t>
            </w:r>
          </w:p>
        </w:tc>
        <w:tc>
          <w:tcPr>
            <w:tcW w:w="1890" w:type="dxa"/>
          </w:tcPr>
          <w:p w:rsidR="009423D8" w:rsidRPr="00760282" w:rsidRDefault="009423D8" w:rsidP="0076028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60282">
              <w:rPr>
                <w:rFonts w:ascii="Times New Roman" w:hAnsi="Times New Roman" w:cs="Times New Roman"/>
                <w:sz w:val="24"/>
                <w:szCs w:val="24"/>
              </w:rPr>
              <w:t>International Women’s Day</w:t>
            </w:r>
          </w:p>
        </w:tc>
        <w:tc>
          <w:tcPr>
            <w:tcW w:w="3434" w:type="dxa"/>
          </w:tcPr>
          <w:p w:rsidR="009423D8" w:rsidRPr="00760282" w:rsidRDefault="009423D8" w:rsidP="0076028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60282">
              <w:rPr>
                <w:rFonts w:ascii="Times New Roman" w:hAnsi="Times New Roman" w:cs="Times New Roman"/>
                <w:sz w:val="24"/>
                <w:szCs w:val="24"/>
              </w:rPr>
              <w:t>On this day, events take place to raise awareness about inequality across the globe.</w:t>
            </w:r>
          </w:p>
        </w:tc>
        <w:tc>
          <w:tcPr>
            <w:tcW w:w="4610" w:type="dxa"/>
          </w:tcPr>
          <w:p w:rsidR="009423D8" w:rsidRDefault="009423D8" w:rsidP="003D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Rejoicing the social, economic, cultural and political achievements of women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and to </w:t>
            </w:r>
            <w:r w:rsidRPr="003D672B">
              <w:rPr>
                <w:rFonts w:ascii="Times New Roman" w:hAnsi="Times New Roman" w:cs="Times New Roman"/>
                <w:sz w:val="24"/>
                <w:szCs w:val="24"/>
              </w:rPr>
              <w:t>rally for women's equality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and</w:t>
            </w:r>
            <w:r w:rsidRPr="0076028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B32B02">
              <w:rPr>
                <w:rFonts w:ascii="Times New Roman" w:hAnsi="Times New Roman" w:cs="Times New Roman"/>
                <w:sz w:val="24"/>
                <w:szCs w:val="24"/>
              </w:rPr>
              <w:t>to further efforts to bring full equality to women in every country of the world</w:t>
            </w:r>
          </w:p>
          <w:p w:rsidR="009423D8" w:rsidRPr="00760282" w:rsidRDefault="009423D8" w:rsidP="003D67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78" w:type="dxa"/>
          </w:tcPr>
          <w:p w:rsidR="009423D8" w:rsidRPr="00760282" w:rsidRDefault="009423D8" w:rsidP="0076028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United Nations and other stakeholders </w:t>
            </w:r>
          </w:p>
        </w:tc>
      </w:tr>
      <w:tr w:rsidR="009423D8" w:rsidRPr="00760282" w:rsidTr="002165F6">
        <w:tc>
          <w:tcPr>
            <w:tcW w:w="1157" w:type="dxa"/>
          </w:tcPr>
          <w:p w:rsidR="009423D8" w:rsidRPr="00760282" w:rsidRDefault="009423D8" w:rsidP="0076028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60282">
              <w:rPr>
                <w:rFonts w:ascii="Times New Roman" w:hAnsi="Times New Roman" w:cs="Times New Roman"/>
                <w:sz w:val="24"/>
                <w:szCs w:val="24"/>
              </w:rPr>
              <w:t>EVERY YEAR</w:t>
            </w:r>
          </w:p>
        </w:tc>
        <w:tc>
          <w:tcPr>
            <w:tcW w:w="1532" w:type="dxa"/>
          </w:tcPr>
          <w:p w:rsidR="009423D8" w:rsidRPr="00760282" w:rsidRDefault="009423D8" w:rsidP="0076028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76028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August 19th</w:t>
            </w:r>
          </w:p>
        </w:tc>
        <w:tc>
          <w:tcPr>
            <w:tcW w:w="1890" w:type="dxa"/>
          </w:tcPr>
          <w:p w:rsidR="009423D8" w:rsidRPr="00760282" w:rsidRDefault="009423D8" w:rsidP="0076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282">
              <w:rPr>
                <w:rFonts w:ascii="Times New Roman" w:hAnsi="Times New Roman" w:cs="Times New Roman"/>
                <w:sz w:val="24"/>
                <w:szCs w:val="24"/>
              </w:rPr>
              <w:t>World Humanitarian Day</w:t>
            </w:r>
          </w:p>
        </w:tc>
        <w:tc>
          <w:tcPr>
            <w:tcW w:w="3434" w:type="dxa"/>
          </w:tcPr>
          <w:p w:rsidR="009423D8" w:rsidRDefault="009423D8" w:rsidP="00B3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282">
              <w:rPr>
                <w:rFonts w:ascii="Times New Roman" w:hAnsi="Times New Roman" w:cs="Times New Roman"/>
                <w:sz w:val="24"/>
                <w:szCs w:val="24"/>
              </w:rPr>
              <w:t xml:space="preserve">Its purpose is to remember people who are suffering due to poverty, hunger, natural disasters and violence </w:t>
            </w:r>
          </w:p>
          <w:p w:rsidR="009423D8" w:rsidRPr="00760282" w:rsidRDefault="009423D8" w:rsidP="00B32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0" w:type="dxa"/>
          </w:tcPr>
          <w:p w:rsidR="009423D8" w:rsidRPr="00760282" w:rsidRDefault="009423D8" w:rsidP="0076028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empower </w:t>
            </w:r>
            <w:r w:rsidRPr="00B32B02">
              <w:rPr>
                <w:rFonts w:ascii="Times New Roman" w:hAnsi="Times New Roman" w:cs="Times New Roman"/>
                <w:sz w:val="24"/>
                <w:szCs w:val="24"/>
              </w:rPr>
              <w:t>local communities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against poverty and inadequacies caused by urbanization and governance </w:t>
            </w:r>
          </w:p>
        </w:tc>
        <w:tc>
          <w:tcPr>
            <w:tcW w:w="1978" w:type="dxa"/>
          </w:tcPr>
          <w:p w:rsidR="009423D8" w:rsidRPr="00760282" w:rsidRDefault="009423D8" w:rsidP="0076028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67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United Nations and other stakeholders</w:t>
            </w:r>
          </w:p>
        </w:tc>
      </w:tr>
      <w:tr w:rsidR="009423D8" w:rsidRPr="00760282" w:rsidTr="002165F6">
        <w:tc>
          <w:tcPr>
            <w:tcW w:w="1157" w:type="dxa"/>
          </w:tcPr>
          <w:p w:rsidR="009423D8" w:rsidRPr="00760282" w:rsidRDefault="009423D8" w:rsidP="0076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282">
              <w:rPr>
                <w:rFonts w:ascii="Times New Roman" w:hAnsi="Times New Roman" w:cs="Times New Roman"/>
                <w:sz w:val="24"/>
                <w:szCs w:val="24"/>
              </w:rPr>
              <w:t>EVERY YEAR</w:t>
            </w:r>
          </w:p>
        </w:tc>
        <w:tc>
          <w:tcPr>
            <w:tcW w:w="1532" w:type="dxa"/>
          </w:tcPr>
          <w:p w:rsidR="009423D8" w:rsidRPr="00760282" w:rsidRDefault="009423D8" w:rsidP="0076028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76028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October 5th</w:t>
            </w:r>
          </w:p>
        </w:tc>
        <w:tc>
          <w:tcPr>
            <w:tcW w:w="1890" w:type="dxa"/>
          </w:tcPr>
          <w:p w:rsidR="009423D8" w:rsidRPr="00760282" w:rsidRDefault="009423D8" w:rsidP="0076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282">
              <w:rPr>
                <w:rFonts w:ascii="Times New Roman" w:hAnsi="Times New Roman" w:cs="Times New Roman"/>
                <w:sz w:val="24"/>
                <w:szCs w:val="24"/>
              </w:rPr>
              <w:t>World Habitat Day</w:t>
            </w:r>
          </w:p>
        </w:tc>
        <w:tc>
          <w:tcPr>
            <w:tcW w:w="3434" w:type="dxa"/>
          </w:tcPr>
          <w:p w:rsidR="009423D8" w:rsidRDefault="009423D8" w:rsidP="00DE4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60282">
              <w:rPr>
                <w:rFonts w:ascii="Times New Roman" w:hAnsi="Times New Roman" w:cs="Times New Roman"/>
                <w:sz w:val="24"/>
                <w:szCs w:val="24"/>
              </w:rPr>
              <w:t xml:space="preserve">o raise awareness about the importance of protecting habitats in order to keep species from facing extinction and to make the world a greener place for people. </w:t>
            </w:r>
          </w:p>
          <w:p w:rsidR="009423D8" w:rsidRPr="00760282" w:rsidRDefault="009423D8" w:rsidP="00DE4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0" w:type="dxa"/>
          </w:tcPr>
          <w:p w:rsidR="009423D8" w:rsidRPr="00760282" w:rsidRDefault="009423D8" w:rsidP="0076028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E4D82">
              <w:rPr>
                <w:rFonts w:ascii="Times New Roman" w:hAnsi="Times New Roman" w:cs="Times New Roman"/>
                <w:sz w:val="24"/>
                <w:szCs w:val="24"/>
              </w:rPr>
              <w:t>Various activities around the world are organized to </w:t>
            </w:r>
            <w:r w:rsidRPr="00DE4D82">
              <w:rPr>
                <w:rFonts w:ascii="Times New Roman" w:hAnsi="Times New Roman" w:cs="Times New Roman"/>
                <w:bCs/>
                <w:sz w:val="24"/>
                <w:szCs w:val="24"/>
              </w:rPr>
              <w:t>examine the problems of rapid urbanization and its impact on the environment and human poverty</w:t>
            </w:r>
            <w:r w:rsidRPr="00DE4D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8" w:type="dxa"/>
          </w:tcPr>
          <w:p w:rsidR="009423D8" w:rsidRPr="00760282" w:rsidRDefault="009423D8" w:rsidP="0076028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67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United Nations and other stakeholders</w:t>
            </w:r>
          </w:p>
        </w:tc>
      </w:tr>
      <w:tr w:rsidR="009423D8" w:rsidRPr="00760282" w:rsidTr="002165F6">
        <w:tc>
          <w:tcPr>
            <w:tcW w:w="1157" w:type="dxa"/>
          </w:tcPr>
          <w:p w:rsidR="009423D8" w:rsidRPr="00760282" w:rsidRDefault="009423D8" w:rsidP="0076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282">
              <w:rPr>
                <w:rFonts w:ascii="Times New Roman" w:hAnsi="Times New Roman" w:cs="Times New Roman"/>
                <w:sz w:val="24"/>
                <w:szCs w:val="24"/>
              </w:rPr>
              <w:t xml:space="preserve">EVERY YEAR </w:t>
            </w:r>
          </w:p>
        </w:tc>
        <w:tc>
          <w:tcPr>
            <w:tcW w:w="1532" w:type="dxa"/>
          </w:tcPr>
          <w:p w:rsidR="009423D8" w:rsidRPr="00760282" w:rsidRDefault="009423D8" w:rsidP="0076028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76028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December 10th</w:t>
            </w:r>
          </w:p>
        </w:tc>
        <w:tc>
          <w:tcPr>
            <w:tcW w:w="1890" w:type="dxa"/>
          </w:tcPr>
          <w:p w:rsidR="009423D8" w:rsidRPr="00760282" w:rsidRDefault="009423D8" w:rsidP="0076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282">
              <w:rPr>
                <w:rFonts w:ascii="Times New Roman" w:hAnsi="Times New Roman" w:cs="Times New Roman"/>
                <w:sz w:val="24"/>
                <w:szCs w:val="24"/>
              </w:rPr>
              <w:t>Human Rights Day</w:t>
            </w:r>
          </w:p>
        </w:tc>
        <w:tc>
          <w:tcPr>
            <w:tcW w:w="3434" w:type="dxa"/>
          </w:tcPr>
          <w:p w:rsidR="009423D8" w:rsidRPr="00760282" w:rsidRDefault="009423D8" w:rsidP="00B3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60282">
              <w:rPr>
                <w:rFonts w:ascii="Times New Roman" w:hAnsi="Times New Roman" w:cs="Times New Roman"/>
                <w:sz w:val="24"/>
                <w:szCs w:val="24"/>
              </w:rPr>
              <w:t xml:space="preserve">he United Nations spreads awareness about the importance of protecting the basic rights of people all around the world. </w:t>
            </w:r>
          </w:p>
        </w:tc>
        <w:tc>
          <w:tcPr>
            <w:tcW w:w="4610" w:type="dxa"/>
          </w:tcPr>
          <w:p w:rsidR="009423D8" w:rsidRDefault="009423D8" w:rsidP="00DE4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Participation in the </w:t>
            </w:r>
            <w:r w:rsidRPr="00B32B02">
              <w:rPr>
                <w:rFonts w:ascii="Times New Roman" w:hAnsi="Times New Roman" w:cs="Times New Roman"/>
                <w:sz w:val="24"/>
                <w:szCs w:val="24"/>
              </w:rPr>
              <w:t xml:space="preserve">annual observance and to take steps to ensure that the rights of individuals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 </w:t>
            </w:r>
            <w:r w:rsidRPr="00B32B02">
              <w:rPr>
                <w:rFonts w:ascii="Times New Roman" w:hAnsi="Times New Roman" w:cs="Times New Roman"/>
                <w:sz w:val="24"/>
                <w:szCs w:val="24"/>
              </w:rPr>
              <w:t>protected.</w:t>
            </w:r>
          </w:p>
          <w:p w:rsidR="009423D8" w:rsidRPr="00760282" w:rsidRDefault="009423D8" w:rsidP="00DE4D8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78" w:type="dxa"/>
          </w:tcPr>
          <w:p w:rsidR="009423D8" w:rsidRPr="00760282" w:rsidRDefault="009423D8" w:rsidP="0076028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67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United Nations and other stakeholders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9423D8" w:rsidRPr="00760282" w:rsidTr="002165F6">
        <w:tc>
          <w:tcPr>
            <w:tcW w:w="1157" w:type="dxa"/>
          </w:tcPr>
          <w:p w:rsidR="009423D8" w:rsidRPr="00760282" w:rsidRDefault="009423D8" w:rsidP="0076028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60282">
              <w:rPr>
                <w:rFonts w:ascii="Times New Roman" w:hAnsi="Times New Roman" w:cs="Times New Roman"/>
                <w:sz w:val="24"/>
                <w:szCs w:val="24"/>
              </w:rPr>
              <w:t>EVERY YEAR</w:t>
            </w:r>
          </w:p>
        </w:tc>
        <w:tc>
          <w:tcPr>
            <w:tcW w:w="1532" w:type="dxa"/>
          </w:tcPr>
          <w:p w:rsidR="009423D8" w:rsidRPr="00760282" w:rsidRDefault="009423D8" w:rsidP="0076028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June 5th </w:t>
            </w:r>
          </w:p>
        </w:tc>
        <w:tc>
          <w:tcPr>
            <w:tcW w:w="1890" w:type="dxa"/>
          </w:tcPr>
          <w:p w:rsidR="009423D8" w:rsidRPr="00760282" w:rsidRDefault="009423D8" w:rsidP="0076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282">
              <w:rPr>
                <w:rFonts w:ascii="Times New Roman" w:hAnsi="Times New Roman" w:cs="Times New Roman"/>
                <w:sz w:val="24"/>
                <w:szCs w:val="24"/>
              </w:rPr>
              <w:t>World Environment Day</w:t>
            </w:r>
          </w:p>
        </w:tc>
        <w:tc>
          <w:tcPr>
            <w:tcW w:w="3434" w:type="dxa"/>
          </w:tcPr>
          <w:p w:rsidR="009423D8" w:rsidRPr="00760282" w:rsidRDefault="009423D8" w:rsidP="00DE4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60282">
              <w:rPr>
                <w:rFonts w:ascii="Times New Roman" w:hAnsi="Times New Roman" w:cs="Times New Roman"/>
                <w:sz w:val="24"/>
                <w:szCs w:val="24"/>
              </w:rPr>
              <w:t xml:space="preserve">o promote the importance of protecting the planet. </w:t>
            </w:r>
          </w:p>
        </w:tc>
        <w:tc>
          <w:tcPr>
            <w:tcW w:w="4610" w:type="dxa"/>
          </w:tcPr>
          <w:p w:rsidR="009423D8" w:rsidRDefault="009423D8" w:rsidP="0076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D82">
              <w:rPr>
                <w:rFonts w:ascii="Times New Roman" w:hAnsi="Times New Roman" w:cs="Times New Roman"/>
                <w:sz w:val="24"/>
                <w:szCs w:val="24"/>
              </w:rPr>
              <w:t xml:space="preserve">Every year, the United Nations focuses on a set theme, inviting speakers and holding hearings related to how to solve various environmental problems, such as protecting </w:t>
            </w:r>
            <w:r w:rsidRPr="00DE4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endangered species or addressing climate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change. </w:t>
            </w:r>
          </w:p>
          <w:p w:rsidR="009423D8" w:rsidRPr="00760282" w:rsidRDefault="009423D8" w:rsidP="0076028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78" w:type="dxa"/>
          </w:tcPr>
          <w:p w:rsidR="009423D8" w:rsidRPr="00760282" w:rsidRDefault="009423D8" w:rsidP="0076028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67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United Nations and other stakeholders</w:t>
            </w:r>
          </w:p>
        </w:tc>
      </w:tr>
      <w:tr w:rsidR="009423D8" w:rsidRPr="00760282" w:rsidTr="002165F6">
        <w:tc>
          <w:tcPr>
            <w:tcW w:w="14601" w:type="dxa"/>
            <w:gridSpan w:val="6"/>
          </w:tcPr>
          <w:p w:rsidR="009423D8" w:rsidRDefault="009423D8" w:rsidP="009423D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GB"/>
              </w:rPr>
              <w:lastRenderedPageBreak/>
              <w:t>NATIONAL</w:t>
            </w:r>
            <w:r w:rsidRPr="0076028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GB"/>
              </w:rPr>
              <w:t xml:space="preserve"> POLICY MOMENTS</w:t>
            </w:r>
          </w:p>
          <w:p w:rsidR="009423D8" w:rsidRPr="003D672B" w:rsidRDefault="009423D8" w:rsidP="0076028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423D8" w:rsidRPr="00760282" w:rsidTr="002165F6">
        <w:tc>
          <w:tcPr>
            <w:tcW w:w="1157" w:type="dxa"/>
          </w:tcPr>
          <w:p w:rsidR="009423D8" w:rsidRDefault="009423D8" w:rsidP="0076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EVERY YEAR</w:t>
            </w:r>
          </w:p>
        </w:tc>
        <w:tc>
          <w:tcPr>
            <w:tcW w:w="1532" w:type="dxa"/>
          </w:tcPr>
          <w:p w:rsidR="009423D8" w:rsidRPr="00B32B02" w:rsidRDefault="009423D8" w:rsidP="0076028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B32B02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August 27</w:t>
            </w:r>
            <w:r w:rsidRPr="00B32B0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90" w:type="dxa"/>
          </w:tcPr>
          <w:p w:rsidR="009423D8" w:rsidRPr="00760282" w:rsidRDefault="009423D8" w:rsidP="0076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Katiba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Day </w:t>
            </w:r>
          </w:p>
        </w:tc>
        <w:tc>
          <w:tcPr>
            <w:tcW w:w="3434" w:type="dxa"/>
          </w:tcPr>
          <w:p w:rsidR="009423D8" w:rsidRDefault="009423D8" w:rsidP="00DE4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02">
              <w:rPr>
                <w:rFonts w:ascii="Times New Roman" w:hAnsi="Times New Roman" w:cs="Times New Roman"/>
                <w:sz w:val="24"/>
                <w:szCs w:val="24"/>
              </w:rPr>
              <w:t xml:space="preserve">Kenyans will mark the anniversary of the promulgation of the new Constitution </w:t>
            </w:r>
          </w:p>
          <w:p w:rsidR="009423D8" w:rsidRPr="00760282" w:rsidRDefault="009423D8" w:rsidP="00DE4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0" w:type="dxa"/>
          </w:tcPr>
          <w:p w:rsidR="009423D8" w:rsidRDefault="009423D8" w:rsidP="0088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purpose of the day is </w:t>
            </w:r>
            <w:r w:rsidRPr="008866BE">
              <w:rPr>
                <w:rFonts w:ascii="Times New Roman" w:hAnsi="Times New Roman" w:cs="Times New Roman"/>
                <w:sz w:val="24"/>
                <w:szCs w:val="24"/>
              </w:rPr>
              <w:t xml:space="preserve">to celebrate, reflect and evaluate progress of </w:t>
            </w:r>
            <w:proofErr w:type="spellStart"/>
            <w:r w:rsidRPr="008866BE">
              <w:rPr>
                <w:rFonts w:ascii="Times New Roman" w:hAnsi="Times New Roman" w:cs="Times New Roman"/>
                <w:sz w:val="24"/>
                <w:szCs w:val="24"/>
              </w:rPr>
              <w:t>CoK</w:t>
            </w:r>
            <w:proofErr w:type="spellEnd"/>
            <w:r w:rsidRPr="008866BE">
              <w:rPr>
                <w:rFonts w:ascii="Times New Roman" w:hAnsi="Times New Roman" w:cs="Times New Roman"/>
                <w:sz w:val="24"/>
                <w:szCs w:val="24"/>
              </w:rPr>
              <w:t xml:space="preserve"> implementation and its implications on governance, human rights, inclusion of marginalized and minorities.</w:t>
            </w:r>
          </w:p>
          <w:p w:rsidR="009423D8" w:rsidRPr="00760282" w:rsidRDefault="009423D8" w:rsidP="008866B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78" w:type="dxa"/>
          </w:tcPr>
          <w:p w:rsidR="009423D8" w:rsidRPr="00760282" w:rsidRDefault="009423D8" w:rsidP="0076028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Human Rights Organizations, i.e.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Mazingira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Inst. Pamoja Trust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Katiba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Inst.</w:t>
            </w:r>
          </w:p>
        </w:tc>
      </w:tr>
      <w:tr w:rsidR="009423D8" w:rsidRPr="00760282" w:rsidTr="002165F6">
        <w:tc>
          <w:tcPr>
            <w:tcW w:w="1157" w:type="dxa"/>
          </w:tcPr>
          <w:p w:rsidR="009423D8" w:rsidRDefault="009423D8" w:rsidP="0076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EVERY YEAR</w:t>
            </w:r>
          </w:p>
        </w:tc>
        <w:tc>
          <w:tcPr>
            <w:tcW w:w="1532" w:type="dxa"/>
          </w:tcPr>
          <w:p w:rsidR="009423D8" w:rsidRPr="00B32B02" w:rsidRDefault="009423D8" w:rsidP="00760282">
            <w:pPr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 xml:space="preserve">August 27 </w:t>
            </w:r>
          </w:p>
        </w:tc>
        <w:tc>
          <w:tcPr>
            <w:tcW w:w="1890" w:type="dxa"/>
          </w:tcPr>
          <w:p w:rsidR="009423D8" w:rsidRDefault="009423D8" w:rsidP="0076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AJS Day</w:t>
            </w:r>
          </w:p>
        </w:tc>
        <w:tc>
          <w:tcPr>
            <w:tcW w:w="3434" w:type="dxa"/>
          </w:tcPr>
          <w:p w:rsidR="009423D8" w:rsidRPr="00B32B02" w:rsidRDefault="009423D8" w:rsidP="00DE4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Alternative Justice System Policy was Launched </w:t>
            </w:r>
          </w:p>
        </w:tc>
        <w:tc>
          <w:tcPr>
            <w:tcW w:w="4610" w:type="dxa"/>
          </w:tcPr>
          <w:p w:rsidR="009423D8" w:rsidRPr="00760282" w:rsidRDefault="009423D8" w:rsidP="00DE4D8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An opportunity to promote the implementation of the AJS Framework for resolution of disputes </w:t>
            </w:r>
            <w:bookmarkStart w:id="0" w:name="_GoBack"/>
            <w:bookmarkEnd w:id="0"/>
          </w:p>
        </w:tc>
        <w:tc>
          <w:tcPr>
            <w:tcW w:w="1978" w:type="dxa"/>
          </w:tcPr>
          <w:p w:rsidR="009423D8" w:rsidRPr="00760282" w:rsidRDefault="009423D8" w:rsidP="0076028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Judiciary and other Organizations </w:t>
            </w:r>
          </w:p>
        </w:tc>
      </w:tr>
      <w:tr w:rsidR="009423D8" w:rsidRPr="00760282" w:rsidTr="002165F6">
        <w:tc>
          <w:tcPr>
            <w:tcW w:w="14601" w:type="dxa"/>
            <w:gridSpan w:val="6"/>
          </w:tcPr>
          <w:p w:rsidR="009423D8" w:rsidRDefault="009423D8" w:rsidP="009423D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GB"/>
              </w:rPr>
            </w:pPr>
            <w:r w:rsidRPr="009423D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GB"/>
              </w:rPr>
              <w:t>EVENTS AND MEETINGS</w:t>
            </w:r>
          </w:p>
          <w:p w:rsidR="009423D8" w:rsidRPr="009423D8" w:rsidRDefault="009423D8" w:rsidP="00942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9423D8" w:rsidRPr="00760282" w:rsidTr="002165F6">
        <w:tc>
          <w:tcPr>
            <w:tcW w:w="1157" w:type="dxa"/>
          </w:tcPr>
          <w:p w:rsidR="009423D8" w:rsidRDefault="009423D8" w:rsidP="0076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32" w:type="dxa"/>
          </w:tcPr>
          <w:p w:rsidR="009423D8" w:rsidRPr="00760282" w:rsidRDefault="009423D8" w:rsidP="0076028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11</w:t>
            </w:r>
            <w:r w:rsidRPr="0076028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-12</w:t>
            </w:r>
            <w:r w:rsidRPr="0076028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October</w:t>
            </w:r>
          </w:p>
        </w:tc>
        <w:tc>
          <w:tcPr>
            <w:tcW w:w="1890" w:type="dxa"/>
          </w:tcPr>
          <w:p w:rsidR="009423D8" w:rsidRPr="00760282" w:rsidRDefault="009423D8" w:rsidP="0076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Working Group On the universal Periodic Review /39</w:t>
            </w:r>
            <w:r w:rsidRPr="007602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session </w:t>
            </w:r>
          </w:p>
        </w:tc>
        <w:tc>
          <w:tcPr>
            <w:tcW w:w="3434" w:type="dxa"/>
          </w:tcPr>
          <w:p w:rsidR="009423D8" w:rsidRPr="00760282" w:rsidRDefault="009423D8" w:rsidP="0063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6379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process which involves a review of the human rights records of all UN Member States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10" w:type="dxa"/>
          </w:tcPr>
          <w:p w:rsidR="009423D8" w:rsidRPr="00760282" w:rsidRDefault="009423D8" w:rsidP="0076028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37921">
              <w:rPr>
                <w:rFonts w:ascii="Times New Roman" w:hAnsi="Times New Roman" w:cs="Times New Roman"/>
                <w:sz w:val="24"/>
                <w:szCs w:val="24"/>
              </w:rPr>
              <w:t>The ultimate aim of this mechanism is to improve the human rights situation in all countries and address human rights violations wherever they occur</w:t>
            </w:r>
          </w:p>
        </w:tc>
        <w:tc>
          <w:tcPr>
            <w:tcW w:w="1978" w:type="dxa"/>
          </w:tcPr>
          <w:p w:rsidR="009423D8" w:rsidRPr="00760282" w:rsidRDefault="009423D8" w:rsidP="0076028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United Nations with Participation other stakeholder including Civil Society Organizations </w:t>
            </w:r>
          </w:p>
        </w:tc>
      </w:tr>
      <w:tr w:rsidR="009423D8" w:rsidRPr="00760282" w:rsidTr="002165F6">
        <w:trPr>
          <w:trHeight w:val="2672"/>
        </w:trPr>
        <w:tc>
          <w:tcPr>
            <w:tcW w:w="1157" w:type="dxa"/>
          </w:tcPr>
          <w:p w:rsidR="009423D8" w:rsidRDefault="009423D8" w:rsidP="0076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32" w:type="dxa"/>
          </w:tcPr>
          <w:p w:rsidR="009423D8" w:rsidRDefault="009423D8" w:rsidP="0076028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August </w:t>
            </w:r>
          </w:p>
        </w:tc>
        <w:tc>
          <w:tcPr>
            <w:tcW w:w="1890" w:type="dxa"/>
          </w:tcPr>
          <w:p w:rsidR="009423D8" w:rsidRDefault="009423D8" w:rsidP="0076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Afri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-cities Conference </w:t>
            </w:r>
          </w:p>
        </w:tc>
        <w:tc>
          <w:tcPr>
            <w:tcW w:w="3434" w:type="dxa"/>
          </w:tcPr>
          <w:p w:rsidR="009423D8" w:rsidRPr="00637921" w:rsidRDefault="009423D8" w:rsidP="0063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921">
              <w:rPr>
                <w:rFonts w:ascii="Times New Roman" w:hAnsi="Times New Roman" w:cs="Times New Roman"/>
                <w:sz w:val="24"/>
                <w:szCs w:val="24"/>
              </w:rPr>
              <w:t>Africities</w:t>
            </w:r>
            <w:proofErr w:type="spellEnd"/>
            <w:r w:rsidRPr="00637921">
              <w:rPr>
                <w:rFonts w:ascii="Times New Roman" w:hAnsi="Times New Roman" w:cs="Times New Roman"/>
                <w:sz w:val="24"/>
                <w:szCs w:val="24"/>
              </w:rPr>
              <w:t xml:space="preserve"> is the United Cities and Local 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vernments of Africa’s flagship P</w:t>
            </w:r>
            <w:r w:rsidRPr="00637921">
              <w:rPr>
                <w:rFonts w:ascii="Times New Roman" w:hAnsi="Times New Roman" w:cs="Times New Roman"/>
                <w:sz w:val="24"/>
                <w:szCs w:val="24"/>
              </w:rPr>
              <w:t>an-African event that is held every three years in one of the five regions of Africa.</w:t>
            </w:r>
          </w:p>
          <w:p w:rsidR="009423D8" w:rsidRPr="00760282" w:rsidRDefault="009423D8" w:rsidP="00760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0" w:type="dxa"/>
          </w:tcPr>
          <w:p w:rsidR="009423D8" w:rsidRDefault="009423D8" w:rsidP="0076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 </w:t>
            </w:r>
            <w:r w:rsidRPr="009423D8">
              <w:rPr>
                <w:rFonts w:ascii="Times New Roman" w:hAnsi="Times New Roman" w:cs="Times New Roman"/>
                <w:sz w:val="24"/>
                <w:szCs w:val="24"/>
              </w:rPr>
              <w:t xml:space="preserve">aims to address major questions based on the construction of the 2063 Vision of Africa with debate proposed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by the African Union Commission;</w:t>
            </w:r>
          </w:p>
          <w:p w:rsidR="009423D8" w:rsidRPr="002165F6" w:rsidRDefault="009423D8" w:rsidP="0076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423D8">
              <w:rPr>
                <w:rFonts w:ascii="Times New Roman" w:hAnsi="Times New Roman" w:cs="Times New Roman"/>
                <w:sz w:val="24"/>
                <w:szCs w:val="24"/>
              </w:rPr>
              <w:t>efining appropriate shared strategies in order to improve the living conditions of people at the local lev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and </w:t>
            </w:r>
            <w:r w:rsidRPr="009423D8">
              <w:rPr>
                <w:rFonts w:ascii="Times New Roman" w:hAnsi="Times New Roman" w:cs="Times New Roman"/>
                <w:sz w:val="24"/>
                <w:szCs w:val="24"/>
              </w:rPr>
              <w:t>Contribute to the integration, peace and unity of Africa starting from the grassroots.</w:t>
            </w:r>
          </w:p>
        </w:tc>
        <w:tc>
          <w:tcPr>
            <w:tcW w:w="1978" w:type="dxa"/>
          </w:tcPr>
          <w:p w:rsidR="009423D8" w:rsidRPr="00760282" w:rsidRDefault="009423D8" w:rsidP="0076028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9922BA" w:rsidRPr="00760282" w:rsidRDefault="009922BA" w:rsidP="00760282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9922BA" w:rsidRPr="00760282" w:rsidSect="009922B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2BA"/>
    <w:rsid w:val="000A23B9"/>
    <w:rsid w:val="00207504"/>
    <w:rsid w:val="002165F6"/>
    <w:rsid w:val="003D672B"/>
    <w:rsid w:val="00637921"/>
    <w:rsid w:val="00760282"/>
    <w:rsid w:val="008866BE"/>
    <w:rsid w:val="008941E7"/>
    <w:rsid w:val="009423D8"/>
    <w:rsid w:val="009922BA"/>
    <w:rsid w:val="00AC6FB0"/>
    <w:rsid w:val="00AD61EA"/>
    <w:rsid w:val="00B32B02"/>
    <w:rsid w:val="00B66B64"/>
    <w:rsid w:val="00BD1F34"/>
    <w:rsid w:val="00DE4D82"/>
    <w:rsid w:val="00D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AE668"/>
  <w15:chartTrackingRefBased/>
  <w15:docId w15:val="{05810190-1E9C-4100-9579-409CE2C0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2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2021-08-12T07:42:00Z</dcterms:created>
  <dcterms:modified xsi:type="dcterms:W3CDTF">2021-08-12T07:42:00Z</dcterms:modified>
</cp:coreProperties>
</file>